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8CA81" w14:textId="000D2D0A" w:rsidR="006C170D" w:rsidRPr="00C94DBE" w:rsidRDefault="006C170D" w:rsidP="006C170D">
      <w:pPr>
        <w:pStyle w:val="a5"/>
        <w:rPr>
          <w:rFonts w:eastAsia="宋体" w:cs="Arial"/>
          <w:lang w:eastAsia="zh-CN"/>
        </w:rPr>
      </w:pPr>
      <w:r w:rsidRPr="00C94DBE">
        <w:rPr>
          <w:rFonts w:cs="Arial"/>
        </w:rPr>
        <w:t>3GPP TSG-RAN WG4 Meeting #</w:t>
      </w:r>
      <w:r w:rsidR="00333C86">
        <w:rPr>
          <w:rFonts w:eastAsia="宋体" w:cs="Arial"/>
          <w:lang w:eastAsia="zh-CN"/>
        </w:rPr>
        <w:t>10</w:t>
      </w:r>
      <w:r w:rsidR="00F03921">
        <w:rPr>
          <w:rFonts w:eastAsia="宋体" w:cs="Arial"/>
          <w:lang w:eastAsia="zh-CN"/>
        </w:rPr>
        <w:t xml:space="preserve">2   </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R4-2</w:t>
      </w:r>
      <w:r w:rsidR="00C822A9">
        <w:rPr>
          <w:rFonts w:eastAsia="宋体" w:cs="Arial"/>
          <w:lang w:eastAsia="zh-CN"/>
        </w:rPr>
        <w:t>2</w:t>
      </w:r>
      <w:r w:rsidR="0036446B">
        <w:rPr>
          <w:rFonts w:eastAsia="宋体" w:cs="Arial"/>
          <w:lang w:eastAsia="zh-CN"/>
        </w:rPr>
        <w:t>0</w:t>
      </w:r>
      <w:r w:rsidR="00C0090F">
        <w:rPr>
          <w:rFonts w:eastAsia="宋体" w:cs="Arial"/>
          <w:lang w:eastAsia="zh-CN"/>
        </w:rPr>
        <w:t>4581</w:t>
      </w:r>
      <w:r w:rsidRPr="00C94DBE">
        <w:rPr>
          <w:rFonts w:eastAsia="宋体" w:cs="Arial"/>
          <w:lang w:eastAsia="zh-CN"/>
        </w:rPr>
        <w:t xml:space="preserve">                                     </w:t>
      </w:r>
      <w:r>
        <w:rPr>
          <w:rFonts w:eastAsia="宋体" w:cs="Arial"/>
          <w:lang w:eastAsia="zh-CN"/>
        </w:rPr>
        <w:t xml:space="preserve">                             </w:t>
      </w:r>
    </w:p>
    <w:p w14:paraId="4D5D8709" w14:textId="0F5CBDE7"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sidR="00F03921">
        <w:rPr>
          <w:rFonts w:cs="Arial"/>
        </w:rPr>
        <w:t>21</w:t>
      </w:r>
      <w:r w:rsidR="00F03921">
        <w:rPr>
          <w:rFonts w:cs="Arial"/>
          <w:vertAlign w:val="superscript"/>
        </w:rPr>
        <w:t xml:space="preserve">st </w:t>
      </w:r>
      <w:r w:rsidR="00F03921">
        <w:rPr>
          <w:rFonts w:cs="Arial"/>
        </w:rPr>
        <w:t>Feb</w:t>
      </w:r>
      <w:r w:rsidRPr="00051CD8">
        <w:rPr>
          <w:rFonts w:cs="Arial"/>
        </w:rPr>
        <w:t>–</w:t>
      </w:r>
      <w:r w:rsidRPr="00051CD8">
        <w:rPr>
          <w:rFonts w:cs="Arial" w:hint="eastAsia"/>
        </w:rPr>
        <w:t xml:space="preserve"> </w:t>
      </w:r>
      <w:r w:rsidR="007D1DA8">
        <w:rPr>
          <w:rFonts w:cs="Arial"/>
        </w:rPr>
        <w:t>3</w:t>
      </w:r>
      <w:r w:rsidR="007D1DA8">
        <w:rPr>
          <w:rFonts w:eastAsiaTheme="minorEastAsia" w:cs="Arial"/>
          <w:vertAlign w:val="superscript"/>
          <w:lang w:eastAsia="zh-CN"/>
        </w:rPr>
        <w:t>rd</w:t>
      </w:r>
      <w:r w:rsidR="00F03921">
        <w:rPr>
          <w:rFonts w:eastAsiaTheme="minorEastAsia" w:cs="Arial"/>
          <w:lang w:eastAsia="zh-CN"/>
        </w:rPr>
        <w:t xml:space="preserve"> Mar</w:t>
      </w:r>
      <w:r w:rsidRPr="00051CD8">
        <w:rPr>
          <w:rFonts w:cs="Arial"/>
        </w:rPr>
        <w:t>, 20</w:t>
      </w:r>
      <w:r>
        <w:rPr>
          <w:rFonts w:eastAsiaTheme="minorEastAsia" w:cs="Arial" w:hint="eastAsia"/>
          <w:lang w:eastAsia="zh-CN"/>
        </w:rPr>
        <w:t>2</w:t>
      </w:r>
      <w:r w:rsidR="00C822A9">
        <w:rPr>
          <w:rFonts w:eastAsiaTheme="minorEastAsia" w:cs="Arial"/>
          <w:lang w:eastAsia="zh-CN"/>
        </w:rPr>
        <w:t>2</w:t>
      </w:r>
    </w:p>
    <w:p w14:paraId="18124BC0" w14:textId="77777777" w:rsidR="006C170D" w:rsidRDefault="006C170D" w:rsidP="006C170D">
      <w:pPr>
        <w:pStyle w:val="a5"/>
        <w:rPr>
          <w:rFonts w:eastAsiaTheme="minorEastAsia" w:cs="Arial"/>
          <w:lang w:eastAsia="zh-CN"/>
        </w:rPr>
      </w:pPr>
    </w:p>
    <w:p w14:paraId="66461DA4" w14:textId="77777777" w:rsidR="00DD49B2" w:rsidRPr="00051CD8" w:rsidRDefault="00DD49B2" w:rsidP="006C170D">
      <w:pPr>
        <w:pStyle w:val="a5"/>
        <w:rPr>
          <w:rFonts w:eastAsiaTheme="minorEastAsia" w:cs="Arial"/>
          <w:lang w:eastAsia="zh-CN"/>
        </w:rPr>
      </w:pPr>
    </w:p>
    <w:p w14:paraId="10F0B24F" w14:textId="65B2D0A3"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00250687">
        <w:rPr>
          <w:rFonts w:ascii="Arial" w:eastAsia="宋体" w:hAnsi="Arial" w:cs="Arial"/>
          <w:b/>
          <w:noProof/>
          <w:kern w:val="0"/>
          <w:sz w:val="22"/>
          <w:szCs w:val="22"/>
          <w:lang w:val="en-GB"/>
        </w:rPr>
        <w:t xml:space="preserve"> </w:t>
      </w:r>
      <w:r w:rsidR="00F03921">
        <w:rPr>
          <w:rFonts w:ascii="Arial" w:eastAsia="宋体" w:hAnsi="Arial" w:cs="Arial"/>
          <w:b/>
          <w:noProof/>
          <w:kern w:val="0"/>
          <w:sz w:val="22"/>
          <w:szCs w:val="22"/>
          <w:lang w:val="en-GB"/>
        </w:rPr>
        <w:t>10</w:t>
      </w:r>
      <w:r w:rsidR="00427987">
        <w:rPr>
          <w:rFonts w:ascii="Arial" w:eastAsia="宋体" w:hAnsi="Arial" w:cs="Arial"/>
          <w:b/>
          <w:noProof/>
          <w:kern w:val="0"/>
          <w:sz w:val="22"/>
          <w:szCs w:val="22"/>
          <w:lang w:val="en-GB"/>
        </w:rPr>
        <w:t>.</w:t>
      </w:r>
      <w:r w:rsidR="009E31A4">
        <w:rPr>
          <w:rFonts w:ascii="Arial" w:eastAsia="宋体" w:hAnsi="Arial" w:cs="Arial"/>
          <w:b/>
          <w:noProof/>
          <w:kern w:val="0"/>
          <w:sz w:val="22"/>
          <w:szCs w:val="22"/>
          <w:lang w:val="en-GB"/>
        </w:rPr>
        <w:t>17</w:t>
      </w:r>
      <w:r w:rsidR="0066418A">
        <w:rPr>
          <w:rFonts w:ascii="Arial" w:eastAsia="宋体" w:hAnsi="Arial" w:cs="Arial"/>
          <w:b/>
          <w:noProof/>
          <w:kern w:val="0"/>
          <w:sz w:val="22"/>
          <w:szCs w:val="22"/>
          <w:lang w:val="en-GB"/>
        </w:rPr>
        <w:t>.</w:t>
      </w:r>
      <w:r w:rsidR="00F44A9A">
        <w:rPr>
          <w:rFonts w:ascii="Arial" w:eastAsia="宋体" w:hAnsi="Arial" w:cs="Arial"/>
          <w:b/>
          <w:noProof/>
          <w:kern w:val="0"/>
          <w:sz w:val="22"/>
          <w:szCs w:val="22"/>
          <w:lang w:val="en-GB"/>
        </w:rPr>
        <w:t>3</w:t>
      </w:r>
      <w:r w:rsidRPr="003F6833">
        <w:rPr>
          <w:rFonts w:ascii="Arial" w:eastAsia="宋体" w:hAnsi="Arial" w:cs="Arial"/>
          <w:b/>
          <w:noProof/>
          <w:kern w:val="0"/>
          <w:sz w:val="22"/>
          <w:szCs w:val="22"/>
          <w:lang w:val="en-GB" w:eastAsia="en-US"/>
        </w:rPr>
        <w:tab/>
      </w:r>
    </w:p>
    <w:p w14:paraId="7CF544F5" w14:textId="5FB00FD5"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6863570C" w14:textId="2154834D"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006C3751">
        <w:rPr>
          <w:rFonts w:ascii="Arial" w:eastAsia="宋体" w:hAnsi="Arial" w:cs="Arial"/>
          <w:b/>
          <w:noProof/>
          <w:kern w:val="0"/>
          <w:sz w:val="22"/>
          <w:lang w:val="en-GB"/>
        </w:rPr>
        <w:t xml:space="preserve"> </w:t>
      </w:r>
      <w:r w:rsidR="00F44A9A">
        <w:rPr>
          <w:rFonts w:ascii="Arial" w:eastAsia="宋体" w:hAnsi="Arial" w:cs="Arial"/>
          <w:b/>
          <w:noProof/>
          <w:kern w:val="0"/>
          <w:sz w:val="22"/>
          <w:lang w:val="en-GB"/>
        </w:rPr>
        <w:t xml:space="preserve"> Initial discussion on Rel-17 IAB enhancement on RF conformance testing</w:t>
      </w:r>
      <w:r>
        <w:rPr>
          <w:rFonts w:ascii="Arial" w:eastAsia="宋体" w:hAnsi="Arial" w:cs="Arial"/>
          <w:b/>
          <w:noProof/>
          <w:kern w:val="0"/>
          <w:sz w:val="22"/>
          <w:lang w:val="en-GB"/>
        </w:rPr>
        <w:t xml:space="preserve">  </w:t>
      </w:r>
    </w:p>
    <w:p w14:paraId="460F64DD" w14:textId="5D86D4E3"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w:t>
      </w:r>
      <w:r w:rsidR="009E31A4">
        <w:rPr>
          <w:rFonts w:ascii="Arial" w:eastAsia="宋体" w:hAnsi="Arial" w:cs="Arial"/>
          <w:b/>
          <w:noProof/>
          <w:kern w:val="0"/>
          <w:sz w:val="22"/>
          <w:szCs w:val="22"/>
          <w:lang w:val="en-GB"/>
        </w:rPr>
        <w:t xml:space="preserve"> </w:t>
      </w:r>
      <w:r w:rsidR="002B0C5D">
        <w:rPr>
          <w:rFonts w:ascii="Arial" w:eastAsia="宋体" w:hAnsi="Arial" w:cs="Arial"/>
          <w:b/>
          <w:noProof/>
          <w:kern w:val="0"/>
          <w:sz w:val="22"/>
          <w:szCs w:val="22"/>
          <w:lang w:val="en-GB"/>
        </w:rPr>
        <w:t>Approval</w:t>
      </w:r>
      <w:r w:rsidR="00353186">
        <w:rPr>
          <w:rFonts w:ascii="Arial" w:eastAsia="宋体" w:hAnsi="Arial" w:cs="Arial"/>
          <w:b/>
          <w:noProof/>
          <w:kern w:val="0"/>
          <w:sz w:val="22"/>
          <w:szCs w:val="22"/>
          <w:lang w:val="en-GB"/>
        </w:rPr>
        <w:t xml:space="preserve"> </w:t>
      </w:r>
    </w:p>
    <w:p w14:paraId="579D55A4"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0238942B" w14:textId="44B19884" w:rsidR="005F5097" w:rsidRPr="006E5511" w:rsidRDefault="0085670B" w:rsidP="00750155">
      <w:pPr>
        <w:rPr>
          <w:rFonts w:ascii="Times New Roman" w:hAnsi="Times New Roman" w:cs="Times New Roman"/>
          <w:szCs w:val="21"/>
        </w:rPr>
      </w:pPr>
      <w:r>
        <w:rPr>
          <w:rFonts w:ascii="Times New Roman" w:hAnsi="Times New Roman" w:cs="Times New Roman"/>
          <w:szCs w:val="21"/>
        </w:rPr>
        <w:t xml:space="preserve">According to the </w:t>
      </w:r>
      <w:r w:rsidR="006E5511">
        <w:rPr>
          <w:rFonts w:ascii="Times New Roman" w:hAnsi="Times New Roman" w:cs="Times New Roman"/>
          <w:szCs w:val="21"/>
        </w:rPr>
        <w:t>schedule of Rel-17 eIAB [1], RAN4 discussion for specification impact on related conformance testing can be started during this meeting. This contribution provides initial discussion on specification impact to RF confor</w:t>
      </w:r>
      <w:r w:rsidR="00853F8F">
        <w:rPr>
          <w:rFonts w:ascii="Times New Roman" w:hAnsi="Times New Roman" w:cs="Times New Roman"/>
          <w:szCs w:val="21"/>
        </w:rPr>
        <w:t xml:space="preserve">mance testing aspect to [5][6]. </w:t>
      </w:r>
    </w:p>
    <w:p w14:paraId="71C94A83" w14:textId="28FFCC5E" w:rsidR="00BD2186" w:rsidRDefault="004759FC" w:rsidP="00BD2186">
      <w:pPr>
        <w:pStyle w:val="1"/>
        <w:rPr>
          <w:rFonts w:cs="Arial"/>
          <w:lang w:eastAsia="zh-CN"/>
        </w:rPr>
      </w:pPr>
      <w:r>
        <w:rPr>
          <w:rFonts w:cs="Arial"/>
          <w:lang w:eastAsia="zh-CN"/>
        </w:rPr>
        <w:t>Discussion</w:t>
      </w:r>
      <w:r w:rsidR="00FD356C">
        <w:rPr>
          <w:rFonts w:cs="Arial"/>
          <w:lang w:eastAsia="zh-CN"/>
        </w:rPr>
        <w:t xml:space="preserve"> </w:t>
      </w:r>
      <w:r w:rsidR="00C721C1">
        <w:rPr>
          <w:rFonts w:cs="Arial"/>
          <w:lang w:eastAsia="zh-CN"/>
        </w:rPr>
        <w:t xml:space="preserve"> </w:t>
      </w:r>
      <w:r w:rsidR="00BD2186">
        <w:rPr>
          <w:rFonts w:cs="Arial"/>
          <w:lang w:eastAsia="zh-CN"/>
        </w:rPr>
        <w:t xml:space="preserve">   </w:t>
      </w:r>
    </w:p>
    <w:p w14:paraId="7A782828" w14:textId="0A363918" w:rsidR="00CF486D" w:rsidRDefault="00853F8F" w:rsidP="007F2B77">
      <w:pPr>
        <w:spacing w:after="180"/>
        <w:rPr>
          <w:rFonts w:ascii="Times New Roman" w:hAnsi="Times New Roman" w:cs="Times New Roman"/>
          <w:lang w:val="en-GB"/>
        </w:rPr>
      </w:pPr>
      <w:r>
        <w:rPr>
          <w:rFonts w:ascii="Times New Roman" w:hAnsi="Times New Roman" w:cs="Times New Roman" w:hint="eastAsia"/>
          <w:lang w:val="en-GB"/>
        </w:rPr>
        <w:t>A</w:t>
      </w:r>
      <w:r>
        <w:rPr>
          <w:rFonts w:ascii="Times New Roman" w:hAnsi="Times New Roman" w:cs="Times New Roman"/>
          <w:lang w:val="en-GB"/>
        </w:rPr>
        <w:t>ccording to RAN4 discussion on RF core perspective</w:t>
      </w:r>
      <w:r w:rsidR="00CF486D">
        <w:rPr>
          <w:rFonts w:ascii="Times New Roman" w:hAnsi="Times New Roman" w:cs="Times New Roman"/>
          <w:lang w:val="en-GB"/>
        </w:rPr>
        <w:t xml:space="preserve"> [7] shown as below</w:t>
      </w:r>
      <w:r>
        <w:rPr>
          <w:rFonts w:ascii="Times New Roman" w:hAnsi="Times New Roman" w:cs="Times New Roman"/>
          <w:lang w:val="en-GB"/>
        </w:rPr>
        <w:t xml:space="preserve">, at least the simultaneous operation, especially </w:t>
      </w:r>
      <w:r w:rsidR="00CF486D">
        <w:rPr>
          <w:rFonts w:ascii="Times New Roman" w:hAnsi="Times New Roman" w:cs="Times New Roman"/>
          <w:lang w:val="en-GB"/>
        </w:rPr>
        <w:t xml:space="preserve">for TX power imbalance between IAB-MT and IAB-DU, should be discussed further on the impact to conformance testing specification. </w:t>
      </w:r>
      <w:r w:rsidR="00E24E60">
        <w:rPr>
          <w:rFonts w:ascii="Times New Roman" w:hAnsi="Times New Roman" w:cs="Times New Roman"/>
          <w:lang w:val="en-GB"/>
        </w:rPr>
        <w:t xml:space="preserve">Regarding the timing error requirement for case#6 timing, which is still open, it </w:t>
      </w:r>
      <w:r w:rsidR="00BE534D">
        <w:rPr>
          <w:rFonts w:ascii="Times New Roman" w:hAnsi="Times New Roman" w:cs="Times New Roman"/>
          <w:lang w:val="en-GB"/>
        </w:rPr>
        <w:t>will not be taken into account for</w:t>
      </w:r>
      <w:r w:rsidR="00E24E60">
        <w:rPr>
          <w:rFonts w:ascii="Times New Roman" w:hAnsi="Times New Roman" w:cs="Times New Roman"/>
          <w:lang w:val="en-GB"/>
        </w:rPr>
        <w:t xml:space="preserve"> this contribution. This aspect can be discussed in May meeting if it’s agreed to be defined within this meeting. </w:t>
      </w:r>
    </w:p>
    <w:tbl>
      <w:tblPr>
        <w:tblStyle w:val="a6"/>
        <w:tblW w:w="0" w:type="auto"/>
        <w:tblLook w:val="04A0" w:firstRow="1" w:lastRow="0" w:firstColumn="1" w:lastColumn="0" w:noHBand="0" w:noVBand="1"/>
      </w:tblPr>
      <w:tblGrid>
        <w:gridCol w:w="10456"/>
      </w:tblGrid>
      <w:tr w:rsidR="00CF486D" w14:paraId="669D24A7" w14:textId="77777777" w:rsidTr="00CF486D">
        <w:tc>
          <w:tcPr>
            <w:tcW w:w="10456" w:type="dxa"/>
          </w:tcPr>
          <w:p w14:paraId="34D1B56D" w14:textId="77777777" w:rsidR="00CF486D" w:rsidRDefault="00CF486D" w:rsidP="00CF486D">
            <w:pPr>
              <w:rPr>
                <w:b/>
                <w:color w:val="000000" w:themeColor="text1"/>
                <w:lang w:eastAsia="ko-KR"/>
              </w:rPr>
            </w:pPr>
            <w:r w:rsidRPr="00F62F8C">
              <w:rPr>
                <w:b/>
                <w:color w:val="000000" w:themeColor="text1"/>
                <w:lang w:eastAsia="ko-KR"/>
              </w:rPr>
              <w:t>Simultaneous operation</w:t>
            </w:r>
            <w:r>
              <w:rPr>
                <w:b/>
                <w:color w:val="000000" w:themeColor="text1"/>
                <w:lang w:eastAsia="ko-KR"/>
              </w:rPr>
              <w:t xml:space="preserve">: RF requirement impact due to TX power imbalance between IAB-MT and IAB-DU </w:t>
            </w:r>
          </w:p>
          <w:p w14:paraId="6C29E3EC" w14:textId="77777777" w:rsidR="00CF486D" w:rsidRPr="00237C52" w:rsidRDefault="00CF486D" w:rsidP="00CF486D">
            <w:pPr>
              <w:rPr>
                <w:sz w:val="20"/>
                <w:szCs w:val="20"/>
              </w:rPr>
            </w:pPr>
            <w:r w:rsidRPr="00B544BD">
              <w:rPr>
                <w:rFonts w:hint="eastAsia"/>
                <w:sz w:val="20"/>
                <w:szCs w:val="20"/>
                <w:highlight w:val="green"/>
              </w:rPr>
              <w:t>Agreement</w:t>
            </w:r>
            <w:r>
              <w:rPr>
                <w:sz w:val="20"/>
                <w:szCs w:val="20"/>
                <w:highlight w:val="green"/>
              </w:rPr>
              <w:t xml:space="preserve"> </w:t>
            </w:r>
          </w:p>
          <w:p w14:paraId="1E19BFF6" w14:textId="77777777" w:rsidR="00CF486D" w:rsidRPr="00B544BD" w:rsidRDefault="00CF486D" w:rsidP="00CF486D">
            <w:pPr>
              <w:rPr>
                <w:sz w:val="20"/>
                <w:szCs w:val="20"/>
                <w:highlight w:val="green"/>
              </w:rPr>
            </w:pPr>
            <w:r w:rsidRPr="00B544BD">
              <w:rPr>
                <w:sz w:val="20"/>
                <w:szCs w:val="20"/>
                <w:highlight w:val="green"/>
              </w:rPr>
              <w:t>Maintain existing RF requirements, further discuss on conformance test cases for declared Tx power (ZTE, Samsung, Ericsson)</w:t>
            </w:r>
          </w:p>
          <w:p w14:paraId="5CE5F125" w14:textId="77777777" w:rsidR="00CF486D" w:rsidRPr="0000041C" w:rsidRDefault="00CF486D" w:rsidP="00CF486D">
            <w:pPr>
              <w:pStyle w:val="a7"/>
              <w:numPr>
                <w:ilvl w:val="0"/>
                <w:numId w:val="42"/>
              </w:numPr>
              <w:spacing w:after="180"/>
              <w:ind w:firstLineChars="0" w:firstLine="480"/>
              <w:contextualSpacing/>
              <w:jc w:val="both"/>
              <w:rPr>
                <w:rFonts w:asciiTheme="minorHAnsi" w:eastAsiaTheme="minorEastAsia" w:hAnsiTheme="minorHAnsi" w:cstheme="minorBidi"/>
                <w:kern w:val="2"/>
                <w:highlight w:val="green"/>
              </w:rPr>
            </w:pPr>
            <w:r w:rsidRPr="0000041C">
              <w:rPr>
                <w:rFonts w:asciiTheme="minorHAnsi" w:eastAsiaTheme="minorEastAsia" w:hAnsiTheme="minorHAnsi" w:cstheme="minorBidi"/>
                <w:kern w:val="2"/>
                <w:highlight w:val="green"/>
              </w:rPr>
              <w:t>Including some clarification on requirements applicable rules in core specification for the limitation of meeting relative ACLR requirements at least, FFS for EVM requirements.</w:t>
            </w:r>
          </w:p>
          <w:p w14:paraId="775DDABB" w14:textId="6B795C42" w:rsidR="00CF486D" w:rsidRPr="00CF486D" w:rsidRDefault="00CF486D" w:rsidP="007F2B77">
            <w:pPr>
              <w:pStyle w:val="a7"/>
              <w:numPr>
                <w:ilvl w:val="0"/>
                <w:numId w:val="42"/>
              </w:numPr>
              <w:spacing w:after="180"/>
              <w:ind w:firstLineChars="0" w:firstLine="480"/>
              <w:contextualSpacing/>
              <w:jc w:val="both"/>
              <w:rPr>
                <w:rFonts w:asciiTheme="minorHAnsi" w:eastAsiaTheme="minorEastAsia" w:hAnsiTheme="minorHAnsi" w:cstheme="minorBidi"/>
                <w:kern w:val="2"/>
                <w:highlight w:val="green"/>
              </w:rPr>
            </w:pPr>
            <w:r w:rsidRPr="0000041C">
              <w:rPr>
                <w:rFonts w:asciiTheme="minorHAnsi" w:eastAsiaTheme="minorEastAsia" w:hAnsiTheme="minorHAnsi" w:cstheme="minorBidi"/>
                <w:kern w:val="2"/>
                <w:highlight w:val="green"/>
              </w:rPr>
              <w:t xml:space="preserve">Further work on detailed wording for such clarification </w:t>
            </w:r>
          </w:p>
        </w:tc>
      </w:tr>
    </w:tbl>
    <w:p w14:paraId="5D3573D0" w14:textId="53B8FABE" w:rsidR="007F2B77" w:rsidRDefault="007F2B77" w:rsidP="007F2B77">
      <w:pPr>
        <w:spacing w:after="180"/>
        <w:rPr>
          <w:rFonts w:ascii="Times New Roman" w:hAnsi="Times New Roman" w:cs="Times New Roman"/>
          <w:lang w:val="en-GB"/>
        </w:rPr>
      </w:pPr>
    </w:p>
    <w:p w14:paraId="3FB3FD49" w14:textId="2AF776EF" w:rsidR="009A73DB" w:rsidRDefault="00DD07AB" w:rsidP="007F2B77">
      <w:pPr>
        <w:spacing w:after="180"/>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ince the baseline is to maintain the existing RF requirement</w:t>
      </w:r>
      <w:r w:rsidR="00BE534D">
        <w:rPr>
          <w:rFonts w:ascii="Times New Roman" w:hAnsi="Times New Roman" w:cs="Times New Roman"/>
          <w:lang w:val="en-GB"/>
        </w:rPr>
        <w:t>s</w:t>
      </w:r>
      <w:r>
        <w:rPr>
          <w:rFonts w:ascii="Times New Roman" w:hAnsi="Times New Roman" w:cs="Times New Roman"/>
          <w:lang w:val="en-GB"/>
        </w:rPr>
        <w:t xml:space="preserve"> for core specification in context of simultaneous operation, it’s expected that the impact on specific test case would be limited. </w:t>
      </w:r>
      <w:r w:rsidR="00C1173D">
        <w:rPr>
          <w:rFonts w:ascii="Times New Roman" w:hAnsi="Times New Roman" w:cs="Times New Roman"/>
          <w:lang w:val="en-GB"/>
        </w:rPr>
        <w:t>Following,</w:t>
      </w:r>
      <w:r>
        <w:rPr>
          <w:rFonts w:ascii="Times New Roman" w:hAnsi="Times New Roman" w:cs="Times New Roman"/>
          <w:lang w:val="en-GB"/>
        </w:rPr>
        <w:t xml:space="preserve"> the discussion would focus on general </w:t>
      </w:r>
      <w:r w:rsidR="009A73DB">
        <w:rPr>
          <w:rFonts w:ascii="Times New Roman" w:hAnsi="Times New Roman" w:cs="Times New Roman"/>
          <w:lang w:val="en-GB"/>
        </w:rPr>
        <w:t xml:space="preserve">aspect in </w:t>
      </w:r>
      <w:r>
        <w:rPr>
          <w:rFonts w:ascii="Times New Roman" w:hAnsi="Times New Roman" w:cs="Times New Roman"/>
          <w:lang w:val="en-GB"/>
        </w:rPr>
        <w:t>clause 4 mainly in</w:t>
      </w:r>
      <w:r w:rsidR="00C1173D">
        <w:rPr>
          <w:rFonts w:ascii="Times New Roman" w:hAnsi="Times New Roman" w:cs="Times New Roman"/>
          <w:lang w:val="en-GB"/>
        </w:rPr>
        <w:t xml:space="preserve"> order of the sub-clause#</w:t>
      </w:r>
      <w:r>
        <w:rPr>
          <w:rFonts w:ascii="Times New Roman" w:hAnsi="Times New Roman" w:cs="Times New Roman"/>
          <w:lang w:val="en-GB"/>
        </w:rPr>
        <w:t xml:space="preserve">.  </w:t>
      </w:r>
    </w:p>
    <w:p w14:paraId="2E691089" w14:textId="77777777" w:rsidR="00C1173D" w:rsidRDefault="00C1173D" w:rsidP="007F2B77">
      <w:pPr>
        <w:spacing w:after="180"/>
        <w:rPr>
          <w:rFonts w:ascii="Times New Roman" w:hAnsi="Times New Roman" w:cs="Times New Roman"/>
          <w:lang w:val="en-GB"/>
        </w:rPr>
      </w:pPr>
      <w:r>
        <w:rPr>
          <w:rFonts w:ascii="Times New Roman" w:hAnsi="Times New Roman" w:cs="Times New Roman"/>
          <w:lang w:val="en-GB"/>
        </w:rPr>
        <w:t xml:space="preserve">Obviously, the simultaneous operation should not affect the MU, requirement reference points, IAB class, Regional requirements, and IAB configuration in 4.1 to 4. 5. Hence no further discussion is needed for those aspects. </w:t>
      </w:r>
    </w:p>
    <w:p w14:paraId="748D6554" w14:textId="77777777" w:rsidR="00C1173D" w:rsidRDefault="00C1173D" w:rsidP="007F2B77">
      <w:pPr>
        <w:spacing w:after="180"/>
        <w:rPr>
          <w:rFonts w:ascii="Times New Roman" w:hAnsi="Times New Roman" w:cs="Times New Roman"/>
          <w:lang w:val="en-GB"/>
        </w:rPr>
      </w:pPr>
      <w:r w:rsidRPr="00C1173D">
        <w:rPr>
          <w:rFonts w:ascii="Times New Roman" w:hAnsi="Times New Roman" w:cs="Times New Roman"/>
          <w:b/>
          <w:lang w:val="en-GB"/>
        </w:rPr>
        <w:t>Observation 1</w:t>
      </w:r>
      <w:r>
        <w:rPr>
          <w:rFonts w:ascii="Times New Roman" w:hAnsi="Times New Roman" w:cs="Times New Roman"/>
          <w:lang w:val="en-GB"/>
        </w:rPr>
        <w:t xml:space="preserve">: simultaneous operation has no impact on MU, requirement reference points, IAB class Regional requirements and IAB configuration in sub-clause 4.1-4.5 for both TS38.176-1 and TS38.176-2.  </w:t>
      </w:r>
    </w:p>
    <w:p w14:paraId="20477B4E" w14:textId="692FD75F" w:rsidR="00C1173D" w:rsidRDefault="00C1173D" w:rsidP="007F2B77">
      <w:pPr>
        <w:spacing w:after="180"/>
        <w:rPr>
          <w:rFonts w:ascii="Times New Roman" w:hAnsi="Times New Roman" w:cs="Times New Roman"/>
          <w:lang w:val="en-GB"/>
        </w:rPr>
      </w:pPr>
      <w:r>
        <w:rPr>
          <w:rFonts w:ascii="Times New Roman" w:hAnsi="Times New Roman" w:cs="Times New Roman"/>
          <w:lang w:val="en-GB"/>
        </w:rPr>
        <w:t xml:space="preserve">Regarding the Manufacturer declarations, it’s suggested to consider </w:t>
      </w:r>
      <w:r w:rsidR="00621307">
        <w:rPr>
          <w:rFonts w:ascii="Times New Roman" w:hAnsi="Times New Roman" w:cs="Times New Roman"/>
          <w:lang w:val="en-GB"/>
        </w:rPr>
        <w:t>one</w:t>
      </w:r>
      <w:r>
        <w:rPr>
          <w:rFonts w:ascii="Times New Roman" w:hAnsi="Times New Roman" w:cs="Times New Roman"/>
          <w:lang w:val="en-GB"/>
        </w:rPr>
        <w:t xml:space="preserve"> additional </w:t>
      </w:r>
      <w:r w:rsidR="00621307">
        <w:rPr>
          <w:rFonts w:ascii="Times New Roman" w:hAnsi="Times New Roman" w:cs="Times New Roman"/>
          <w:lang w:val="en-GB"/>
        </w:rPr>
        <w:t xml:space="preserve">declarations as for “IAB simultaneous operation”. And at least dedicated declaration of D.36 in TS38.176-1 and D.59 in TS38.176-2 should be allowed for IAB configured for </w:t>
      </w:r>
      <w:r w:rsidR="00621307" w:rsidRPr="00140C1F">
        <w:rPr>
          <w:rFonts w:cs="Arial"/>
          <w:i/>
          <w:iCs/>
          <w:szCs w:val="18"/>
        </w:rPr>
        <w:t>IAB simultaneous operatio</w:t>
      </w:r>
      <w:r w:rsidR="00621307">
        <w:rPr>
          <w:rFonts w:cs="Arial"/>
          <w:i/>
          <w:iCs/>
          <w:szCs w:val="18"/>
        </w:rPr>
        <w:t>n.</w:t>
      </w:r>
      <w:r w:rsidR="00621307" w:rsidRPr="00621307">
        <w:rPr>
          <w:rFonts w:ascii="Times New Roman" w:hAnsi="Times New Roman" w:cs="Times New Roman"/>
          <w:lang w:val="en-GB"/>
        </w:rPr>
        <w:t xml:space="preserve"> Further review on other power related </w:t>
      </w:r>
      <w:r w:rsidR="00621307">
        <w:rPr>
          <w:rFonts w:ascii="Times New Roman" w:hAnsi="Times New Roman" w:cs="Times New Roman"/>
          <w:lang w:val="en-GB"/>
        </w:rPr>
        <w:t xml:space="preserve">declaration is suggested to see whether such kind of note needed. </w:t>
      </w:r>
    </w:p>
    <w:p w14:paraId="2B1165E2" w14:textId="4C5666EF" w:rsidR="00621307" w:rsidRPr="00621307" w:rsidRDefault="00621307" w:rsidP="007F2B77">
      <w:pPr>
        <w:spacing w:after="180"/>
        <w:rPr>
          <w:rFonts w:ascii="Times New Roman" w:hAnsi="Times New Roman" w:cs="Times New Roman"/>
          <w:lang w:val="en-GB"/>
        </w:rPr>
      </w:pPr>
      <w:r w:rsidRPr="00621307">
        <w:rPr>
          <w:rFonts w:ascii="Times New Roman" w:hAnsi="Times New Roman" w:cs="Times New Roman"/>
          <w:b/>
          <w:lang w:val="en-GB"/>
        </w:rPr>
        <w:t>Observation 2</w:t>
      </w:r>
      <w:r>
        <w:rPr>
          <w:rFonts w:ascii="Times New Roman" w:hAnsi="Times New Roman" w:cs="Times New Roman"/>
          <w:lang w:val="en-GB"/>
        </w:rPr>
        <w:t xml:space="preserve">: further study for impact on manufacturer declaration is needed for simultaneous operation. </w:t>
      </w:r>
    </w:p>
    <w:p w14:paraId="00235FD8" w14:textId="05911CFA" w:rsidR="00C1173D" w:rsidRDefault="00C1173D" w:rsidP="00621307">
      <w:pPr>
        <w:pStyle w:val="TH"/>
        <w:rPr>
          <w:rFonts w:ascii="Times New Roman" w:hAnsi="Times New Roman"/>
        </w:rPr>
      </w:pPr>
      <w:r>
        <w:rPr>
          <w:rFonts w:ascii="Times New Roman" w:hAnsi="Times New Roman"/>
        </w:rPr>
        <w:lastRenderedPageBreak/>
        <w:t xml:space="preserve"> </w:t>
      </w:r>
      <w:r w:rsidR="009A73DB">
        <w:rPr>
          <w:rFonts w:ascii="Times New Roman" w:hAnsi="Times New Roman"/>
        </w:rPr>
        <w:t xml:space="preserve"> </w:t>
      </w:r>
      <w:r w:rsidR="00DD07AB">
        <w:rPr>
          <w:rFonts w:ascii="Times New Roman" w:hAnsi="Times New Roman"/>
        </w:rPr>
        <w:t xml:space="preserve"> </w:t>
      </w:r>
      <w:r w:rsidR="00621307" w:rsidRPr="00621307">
        <w:t>Table</w:t>
      </w:r>
      <w:r w:rsidR="00621307">
        <w:t xml:space="preserve"> 1: update for</w:t>
      </w:r>
      <w:r w:rsidR="00621307" w:rsidRPr="00621307">
        <w:t xml:space="preserve"> 4.6-1 in TS38.176-1 as example </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729"/>
        <w:gridCol w:w="2855"/>
        <w:gridCol w:w="5193"/>
      </w:tblGrid>
      <w:tr w:rsidR="00C1173D" w:rsidRPr="00BE5108" w14:paraId="472B78AD" w14:textId="77777777" w:rsidTr="00C1173D">
        <w:trPr>
          <w:cantSplit/>
          <w:trHeight w:val="312"/>
          <w:tblHeader/>
          <w:jc w:val="center"/>
        </w:trPr>
        <w:tc>
          <w:tcPr>
            <w:tcW w:w="1729" w:type="dxa"/>
            <w:vMerge w:val="restart"/>
          </w:tcPr>
          <w:p w14:paraId="682099D0" w14:textId="77777777" w:rsidR="00C1173D" w:rsidRPr="00BE5108" w:rsidRDefault="00C1173D" w:rsidP="008C7F98">
            <w:pPr>
              <w:pStyle w:val="TAH"/>
              <w:keepLines w:val="0"/>
            </w:pPr>
            <w:r w:rsidRPr="00BE5108">
              <w:t>Declaration identifier</w:t>
            </w:r>
          </w:p>
        </w:tc>
        <w:tc>
          <w:tcPr>
            <w:tcW w:w="2855" w:type="dxa"/>
            <w:vMerge w:val="restart"/>
          </w:tcPr>
          <w:p w14:paraId="45B9B12E" w14:textId="77777777" w:rsidR="00C1173D" w:rsidRPr="00BE5108" w:rsidRDefault="00C1173D" w:rsidP="008C7F98">
            <w:pPr>
              <w:pStyle w:val="TAH"/>
              <w:keepLines w:val="0"/>
            </w:pPr>
            <w:r w:rsidRPr="00BE5108">
              <w:t>Declaration</w:t>
            </w:r>
          </w:p>
        </w:tc>
        <w:tc>
          <w:tcPr>
            <w:tcW w:w="5193" w:type="dxa"/>
            <w:vMerge w:val="restart"/>
          </w:tcPr>
          <w:p w14:paraId="7FCF1A28" w14:textId="77777777" w:rsidR="00C1173D" w:rsidRPr="00BE5108" w:rsidRDefault="00C1173D" w:rsidP="008C7F98">
            <w:pPr>
              <w:pStyle w:val="TAH"/>
              <w:keepLines w:val="0"/>
            </w:pPr>
            <w:r w:rsidRPr="00BE5108">
              <w:t>Description</w:t>
            </w:r>
          </w:p>
        </w:tc>
      </w:tr>
      <w:tr w:rsidR="00C1173D" w:rsidRPr="00BE5108" w14:paraId="0C8C7981" w14:textId="77777777" w:rsidTr="00C1173D">
        <w:trPr>
          <w:cantSplit/>
          <w:trHeight w:val="312"/>
          <w:tblHeader/>
          <w:jc w:val="center"/>
        </w:trPr>
        <w:tc>
          <w:tcPr>
            <w:tcW w:w="1729" w:type="dxa"/>
            <w:vMerge/>
          </w:tcPr>
          <w:p w14:paraId="69C16055" w14:textId="77777777" w:rsidR="00C1173D" w:rsidRPr="00BE5108" w:rsidRDefault="00C1173D" w:rsidP="008C7F98">
            <w:pPr>
              <w:pStyle w:val="TAH"/>
            </w:pPr>
          </w:p>
        </w:tc>
        <w:tc>
          <w:tcPr>
            <w:tcW w:w="2855" w:type="dxa"/>
            <w:vMerge/>
          </w:tcPr>
          <w:p w14:paraId="3A9994C4" w14:textId="77777777" w:rsidR="00C1173D" w:rsidRPr="00BE5108" w:rsidRDefault="00C1173D" w:rsidP="008C7F98">
            <w:pPr>
              <w:pStyle w:val="TAH"/>
            </w:pPr>
          </w:p>
        </w:tc>
        <w:tc>
          <w:tcPr>
            <w:tcW w:w="5193" w:type="dxa"/>
            <w:vMerge/>
          </w:tcPr>
          <w:p w14:paraId="30ECEEA8" w14:textId="77777777" w:rsidR="00C1173D" w:rsidRPr="00BE5108" w:rsidRDefault="00C1173D" w:rsidP="008C7F98">
            <w:pPr>
              <w:pStyle w:val="TAH"/>
            </w:pPr>
          </w:p>
        </w:tc>
      </w:tr>
      <w:tr w:rsidR="0018505B" w:rsidRPr="00BE5108" w14:paraId="64BDF3DB" w14:textId="77777777" w:rsidTr="00C1173D">
        <w:trPr>
          <w:cantSplit/>
          <w:trHeight w:val="312"/>
          <w:tblHeader/>
          <w:jc w:val="center"/>
        </w:trPr>
        <w:tc>
          <w:tcPr>
            <w:tcW w:w="1729" w:type="dxa"/>
          </w:tcPr>
          <w:p w14:paraId="2F80F4DF" w14:textId="3864CAEA" w:rsidR="0018505B" w:rsidRPr="00BE5108" w:rsidRDefault="0018505B" w:rsidP="00140C1F">
            <w:pPr>
              <w:pStyle w:val="TAH"/>
              <w:jc w:val="left"/>
              <w:rPr>
                <w:lang w:eastAsia="zh-CN"/>
              </w:rPr>
            </w:pPr>
            <w:r>
              <w:rPr>
                <w:lang w:eastAsia="zh-CN"/>
              </w:rPr>
              <w:t>….</w:t>
            </w:r>
          </w:p>
        </w:tc>
        <w:tc>
          <w:tcPr>
            <w:tcW w:w="2855" w:type="dxa"/>
          </w:tcPr>
          <w:p w14:paraId="013ED30D" w14:textId="1A56FD20" w:rsidR="0018505B" w:rsidRPr="00BE5108" w:rsidRDefault="0018505B" w:rsidP="00140C1F">
            <w:pPr>
              <w:pStyle w:val="TAH"/>
              <w:jc w:val="left"/>
              <w:rPr>
                <w:lang w:eastAsia="zh-CN"/>
              </w:rPr>
            </w:pPr>
            <w:r>
              <w:rPr>
                <w:lang w:eastAsia="zh-CN"/>
              </w:rPr>
              <w:t>….</w:t>
            </w:r>
          </w:p>
        </w:tc>
        <w:tc>
          <w:tcPr>
            <w:tcW w:w="5193" w:type="dxa"/>
          </w:tcPr>
          <w:p w14:paraId="62334A80" w14:textId="7774932E" w:rsidR="0018505B" w:rsidRPr="00BE5108" w:rsidRDefault="0018505B" w:rsidP="00140C1F">
            <w:pPr>
              <w:pStyle w:val="TAH"/>
              <w:jc w:val="left"/>
              <w:rPr>
                <w:lang w:eastAsia="zh-CN"/>
              </w:rPr>
            </w:pPr>
            <w:r>
              <w:rPr>
                <w:lang w:eastAsia="zh-CN"/>
              </w:rPr>
              <w:t>….</w:t>
            </w:r>
          </w:p>
        </w:tc>
      </w:tr>
      <w:tr w:rsidR="0018505B" w:rsidRPr="00BE5108" w14:paraId="57A17252" w14:textId="77777777" w:rsidTr="00C1173D">
        <w:trPr>
          <w:cantSplit/>
          <w:trHeight w:val="312"/>
          <w:tblHeader/>
          <w:jc w:val="center"/>
        </w:trPr>
        <w:tc>
          <w:tcPr>
            <w:tcW w:w="1729" w:type="dxa"/>
          </w:tcPr>
          <w:p w14:paraId="06E6AD29" w14:textId="3455EF64" w:rsidR="0018505B" w:rsidRPr="0018505B" w:rsidRDefault="0018505B" w:rsidP="0018505B">
            <w:pPr>
              <w:pStyle w:val="TAH"/>
              <w:rPr>
                <w:b w:val="0"/>
              </w:rPr>
            </w:pPr>
            <w:r w:rsidRPr="0018505B">
              <w:rPr>
                <w:b w:val="0"/>
              </w:rPr>
              <w:t>D.36</w:t>
            </w:r>
          </w:p>
        </w:tc>
        <w:tc>
          <w:tcPr>
            <w:tcW w:w="2855" w:type="dxa"/>
          </w:tcPr>
          <w:p w14:paraId="5A8DAB4D" w14:textId="5FCDB00F" w:rsidR="0018505B" w:rsidRPr="0018505B" w:rsidRDefault="0018505B" w:rsidP="00154A07">
            <w:pPr>
              <w:pStyle w:val="TAH"/>
              <w:jc w:val="left"/>
              <w:rPr>
                <w:b w:val="0"/>
              </w:rPr>
            </w:pPr>
            <w:r w:rsidRPr="0018505B">
              <w:rPr>
                <w:b w:val="0"/>
              </w:rPr>
              <w:t>Relation between supported maximum RF bandwidth, number of carriers and Rated total output power</w:t>
            </w:r>
          </w:p>
        </w:tc>
        <w:tc>
          <w:tcPr>
            <w:tcW w:w="5193" w:type="dxa"/>
          </w:tcPr>
          <w:p w14:paraId="70E81C64" w14:textId="77777777" w:rsidR="0018505B" w:rsidRPr="00BE5108" w:rsidRDefault="0018505B" w:rsidP="00154A07">
            <w:pPr>
              <w:pStyle w:val="TAL"/>
            </w:pPr>
            <w:r w:rsidRPr="00BE5108">
              <w:t>If the rated total output power and total number of supported carriers are not simultaneously supported, the manufacturer shall declare the following additional parameters:</w:t>
            </w:r>
          </w:p>
          <w:p w14:paraId="13962C94" w14:textId="77777777" w:rsidR="0018505B" w:rsidRPr="00BE5108" w:rsidRDefault="0018505B" w:rsidP="00154A07">
            <w:pPr>
              <w:pStyle w:val="TAL"/>
            </w:pPr>
            <w:r w:rsidRPr="00BE5108">
              <w:t>-</w:t>
            </w:r>
            <w:r w:rsidRPr="00BE5108">
              <w:tab/>
              <w:t>The reduced number of supported carriers at the rated total output power;</w:t>
            </w:r>
          </w:p>
          <w:p w14:paraId="07F185AA" w14:textId="083C7743" w:rsidR="0018505B" w:rsidRPr="0018505B" w:rsidRDefault="0018505B" w:rsidP="00154A07">
            <w:pPr>
              <w:pStyle w:val="TAH"/>
              <w:jc w:val="left"/>
              <w:rPr>
                <w:b w:val="0"/>
              </w:rPr>
            </w:pPr>
            <w:r w:rsidRPr="0018505B">
              <w:rPr>
                <w:b w:val="0"/>
              </w:rPr>
              <w:t>-</w:t>
            </w:r>
            <w:r w:rsidRPr="0018505B">
              <w:rPr>
                <w:b w:val="0"/>
              </w:rPr>
              <w:tab/>
              <w:t>The reduced total output power at the maximum number of supported carriers</w:t>
            </w:r>
            <w:r w:rsidRPr="00621307">
              <w:rPr>
                <w:b w:val="0"/>
                <w:highlight w:val="yellow"/>
              </w:rPr>
              <w:t>.</w:t>
            </w:r>
            <w:r w:rsidR="00154A07" w:rsidRPr="00621307">
              <w:rPr>
                <w:b w:val="0"/>
                <w:highlight w:val="yellow"/>
              </w:rPr>
              <w:t>(Note X)</w:t>
            </w:r>
          </w:p>
        </w:tc>
      </w:tr>
      <w:tr w:rsidR="0018505B" w:rsidRPr="00BE5108" w14:paraId="7B67A58D" w14:textId="77777777" w:rsidTr="00C1173D">
        <w:trPr>
          <w:cantSplit/>
          <w:trHeight w:val="312"/>
          <w:tblHeader/>
          <w:jc w:val="center"/>
        </w:trPr>
        <w:tc>
          <w:tcPr>
            <w:tcW w:w="1729" w:type="dxa"/>
          </w:tcPr>
          <w:p w14:paraId="0C90BE04" w14:textId="75B02127" w:rsidR="0018505B" w:rsidRDefault="0018505B" w:rsidP="00140C1F">
            <w:pPr>
              <w:pStyle w:val="TAH"/>
              <w:jc w:val="left"/>
              <w:rPr>
                <w:lang w:eastAsia="zh-CN"/>
              </w:rPr>
            </w:pPr>
            <w:r>
              <w:rPr>
                <w:lang w:eastAsia="zh-CN"/>
              </w:rPr>
              <w:t>….</w:t>
            </w:r>
          </w:p>
        </w:tc>
        <w:tc>
          <w:tcPr>
            <w:tcW w:w="2855" w:type="dxa"/>
          </w:tcPr>
          <w:p w14:paraId="27D6546E" w14:textId="00F4D41A" w:rsidR="0018505B" w:rsidRDefault="0018505B" w:rsidP="00140C1F">
            <w:pPr>
              <w:pStyle w:val="TAH"/>
              <w:jc w:val="left"/>
              <w:rPr>
                <w:lang w:eastAsia="zh-CN"/>
              </w:rPr>
            </w:pPr>
            <w:r>
              <w:rPr>
                <w:lang w:eastAsia="zh-CN"/>
              </w:rPr>
              <w:t>….</w:t>
            </w:r>
          </w:p>
        </w:tc>
        <w:tc>
          <w:tcPr>
            <w:tcW w:w="5193" w:type="dxa"/>
          </w:tcPr>
          <w:p w14:paraId="6471C38B" w14:textId="4B799188" w:rsidR="0018505B" w:rsidRDefault="0018505B" w:rsidP="00140C1F">
            <w:pPr>
              <w:pStyle w:val="TAH"/>
              <w:jc w:val="left"/>
              <w:rPr>
                <w:lang w:eastAsia="zh-CN"/>
              </w:rPr>
            </w:pPr>
            <w:r>
              <w:rPr>
                <w:lang w:eastAsia="zh-CN"/>
              </w:rPr>
              <w:t>….</w:t>
            </w:r>
          </w:p>
        </w:tc>
      </w:tr>
      <w:tr w:rsidR="0018505B" w:rsidRPr="00BE5108" w14:paraId="2E5E1E27" w14:textId="77777777" w:rsidTr="00C1173D">
        <w:trPr>
          <w:cantSplit/>
          <w:jc w:val="center"/>
        </w:trPr>
        <w:tc>
          <w:tcPr>
            <w:tcW w:w="1729" w:type="dxa"/>
          </w:tcPr>
          <w:p w14:paraId="041DEE82" w14:textId="42F0F2A6" w:rsidR="0018505B" w:rsidRPr="00621307" w:rsidRDefault="0018505B" w:rsidP="0018505B">
            <w:pPr>
              <w:pStyle w:val="TAL"/>
              <w:keepLines w:val="0"/>
              <w:rPr>
                <w:highlight w:val="yellow"/>
              </w:rPr>
            </w:pPr>
            <w:r w:rsidRPr="00621307">
              <w:rPr>
                <w:highlight w:val="yellow"/>
              </w:rPr>
              <w:t>[D.IAB-X1]</w:t>
            </w:r>
          </w:p>
        </w:tc>
        <w:tc>
          <w:tcPr>
            <w:tcW w:w="2855" w:type="dxa"/>
          </w:tcPr>
          <w:p w14:paraId="0B539DE3" w14:textId="30A59751" w:rsidR="0018505B" w:rsidRPr="00621307" w:rsidRDefault="0018505B" w:rsidP="0018505B">
            <w:pPr>
              <w:pStyle w:val="TAL"/>
              <w:keepLines w:val="0"/>
              <w:rPr>
                <w:highlight w:val="yellow"/>
              </w:rPr>
            </w:pPr>
            <w:r w:rsidRPr="00621307">
              <w:rPr>
                <w:highlight w:val="yellow"/>
              </w:rPr>
              <w:t xml:space="preserve">IAB simultaneous operation </w:t>
            </w:r>
          </w:p>
        </w:tc>
        <w:tc>
          <w:tcPr>
            <w:tcW w:w="5193" w:type="dxa"/>
          </w:tcPr>
          <w:p w14:paraId="21DCCAD5" w14:textId="6A905118" w:rsidR="0018505B" w:rsidRPr="00621307" w:rsidRDefault="0018505B" w:rsidP="0018505B">
            <w:pPr>
              <w:pStyle w:val="TAL"/>
              <w:keepLines w:val="0"/>
              <w:rPr>
                <w:highlight w:val="yellow"/>
              </w:rPr>
            </w:pPr>
            <w:r w:rsidRPr="00621307">
              <w:rPr>
                <w:highlight w:val="yellow"/>
              </w:rPr>
              <w:t xml:space="preserve">Declaration whether </w:t>
            </w:r>
            <w:r w:rsidRPr="00621307">
              <w:rPr>
                <w:i/>
                <w:highlight w:val="yellow"/>
              </w:rPr>
              <w:t>IAB simultaneous operation</w:t>
            </w:r>
            <w:r w:rsidRPr="00621307">
              <w:rPr>
                <w:highlight w:val="yellow"/>
              </w:rPr>
              <w:t xml:space="preserve"> supported </w:t>
            </w:r>
          </w:p>
        </w:tc>
      </w:tr>
      <w:tr w:rsidR="0018505B" w:rsidRPr="00BE5108" w14:paraId="7DF40FD7" w14:textId="77777777" w:rsidTr="00C1173D">
        <w:trPr>
          <w:cantSplit/>
          <w:jc w:val="center"/>
        </w:trPr>
        <w:tc>
          <w:tcPr>
            <w:tcW w:w="1729" w:type="dxa"/>
          </w:tcPr>
          <w:p w14:paraId="6BB790A9" w14:textId="3C37FB35" w:rsidR="0018505B" w:rsidRPr="00BE5108" w:rsidRDefault="0018505B" w:rsidP="0018505B">
            <w:pPr>
              <w:pStyle w:val="TAL"/>
              <w:keepNext w:val="0"/>
              <w:keepLines w:val="0"/>
            </w:pPr>
            <w:r>
              <w:rPr>
                <w:lang w:eastAsia="zh-CN"/>
              </w:rPr>
              <w:t>….</w:t>
            </w:r>
          </w:p>
        </w:tc>
        <w:tc>
          <w:tcPr>
            <w:tcW w:w="2855" w:type="dxa"/>
          </w:tcPr>
          <w:p w14:paraId="7C35A312" w14:textId="4AAD04E2" w:rsidR="0018505B" w:rsidRPr="00BE5108" w:rsidRDefault="0018505B" w:rsidP="0018505B">
            <w:pPr>
              <w:pStyle w:val="TAL"/>
              <w:keepNext w:val="0"/>
              <w:keepLines w:val="0"/>
            </w:pPr>
            <w:r>
              <w:rPr>
                <w:lang w:eastAsia="zh-CN"/>
              </w:rPr>
              <w:t>….</w:t>
            </w:r>
          </w:p>
        </w:tc>
        <w:tc>
          <w:tcPr>
            <w:tcW w:w="5193" w:type="dxa"/>
          </w:tcPr>
          <w:p w14:paraId="30BDD729" w14:textId="6AA129C4" w:rsidR="0018505B" w:rsidRPr="00BE5108" w:rsidRDefault="0018505B" w:rsidP="0018505B">
            <w:pPr>
              <w:pStyle w:val="TAL"/>
              <w:keepNext w:val="0"/>
              <w:keepLines w:val="0"/>
            </w:pPr>
            <w:r>
              <w:rPr>
                <w:lang w:eastAsia="zh-CN"/>
              </w:rPr>
              <w:t>….</w:t>
            </w:r>
          </w:p>
        </w:tc>
      </w:tr>
      <w:tr w:rsidR="0018505B" w:rsidRPr="00BE5108" w14:paraId="26E9B88D" w14:textId="77777777" w:rsidTr="00CD5437">
        <w:trPr>
          <w:cantSplit/>
          <w:jc w:val="center"/>
        </w:trPr>
        <w:tc>
          <w:tcPr>
            <w:tcW w:w="9777" w:type="dxa"/>
            <w:gridSpan w:val="3"/>
          </w:tcPr>
          <w:p w14:paraId="705428A1" w14:textId="77777777" w:rsidR="0018505B" w:rsidRDefault="0018505B" w:rsidP="0018505B">
            <w:pPr>
              <w:pStyle w:val="TAL"/>
              <w:keepNext w:val="0"/>
              <w:keepLines w:val="0"/>
              <w:rPr>
                <w:rFonts w:cs="Arial"/>
                <w:i/>
                <w:iCs/>
                <w:szCs w:val="18"/>
                <w:lang w:eastAsia="zh-CN"/>
              </w:rPr>
            </w:pPr>
            <w:r>
              <w:rPr>
                <w:rFonts w:cs="Arial"/>
                <w:i/>
                <w:iCs/>
                <w:szCs w:val="18"/>
                <w:lang w:eastAsia="zh-CN"/>
              </w:rPr>
              <w:t>…</w:t>
            </w:r>
          </w:p>
          <w:p w14:paraId="5215BC68" w14:textId="07404F27" w:rsidR="0018505B" w:rsidRPr="0018505B" w:rsidRDefault="0018505B" w:rsidP="00140C1F">
            <w:pPr>
              <w:pStyle w:val="TAL"/>
              <w:keepNext w:val="0"/>
              <w:keepLines w:val="0"/>
              <w:rPr>
                <w:rFonts w:cs="Arial"/>
                <w:iCs/>
                <w:szCs w:val="18"/>
                <w:lang w:eastAsia="zh-CN"/>
              </w:rPr>
            </w:pPr>
            <w:r w:rsidRPr="00621307">
              <w:rPr>
                <w:rFonts w:cs="Arial"/>
                <w:iCs/>
                <w:szCs w:val="18"/>
                <w:highlight w:val="yellow"/>
                <w:lang w:eastAsia="zh-CN"/>
              </w:rPr>
              <w:t>Note X:</w:t>
            </w:r>
            <w:r w:rsidR="00FD4135" w:rsidRPr="00621307">
              <w:rPr>
                <w:rFonts w:cs="Arial"/>
                <w:iCs/>
                <w:szCs w:val="18"/>
                <w:highlight w:val="yellow"/>
                <w:lang w:eastAsia="zh-CN"/>
              </w:rPr>
              <w:t xml:space="preserve"> If IAB declares to support </w:t>
            </w:r>
            <w:r w:rsidR="00140C1F" w:rsidRPr="00621307">
              <w:rPr>
                <w:rFonts w:cs="Arial"/>
                <w:i/>
                <w:iCs/>
                <w:szCs w:val="18"/>
                <w:highlight w:val="yellow"/>
                <w:lang w:eastAsia="zh-CN"/>
              </w:rPr>
              <w:t>IAB simultaneous operation</w:t>
            </w:r>
            <w:r w:rsidR="00140C1F" w:rsidRPr="00621307">
              <w:rPr>
                <w:highlight w:val="yellow"/>
              </w:rPr>
              <w:t xml:space="preserve"> [D.IAB-X1]</w:t>
            </w:r>
            <w:r w:rsidR="00140C1F" w:rsidRPr="00621307">
              <w:rPr>
                <w:rFonts w:cs="Arial"/>
                <w:iCs/>
                <w:szCs w:val="18"/>
                <w:highlight w:val="yellow"/>
                <w:lang w:eastAsia="zh-CN"/>
              </w:rPr>
              <w:t>, two sets of declaration to D.36 may be made. One declaration is applicable when configured for</w:t>
            </w:r>
            <w:r w:rsidR="00140C1F" w:rsidRPr="00621307">
              <w:rPr>
                <w:rFonts w:cs="Arial"/>
                <w:i/>
                <w:iCs/>
                <w:szCs w:val="18"/>
                <w:highlight w:val="yellow"/>
                <w:lang w:eastAsia="zh-CN"/>
              </w:rPr>
              <w:t xml:space="preserve"> IAB simultaneous operation</w:t>
            </w:r>
            <w:r w:rsidR="00140C1F" w:rsidRPr="00621307">
              <w:rPr>
                <w:rFonts w:cs="Arial"/>
                <w:iCs/>
                <w:szCs w:val="18"/>
                <w:highlight w:val="yellow"/>
                <w:lang w:eastAsia="zh-CN"/>
              </w:rPr>
              <w:t xml:space="preserve"> and the other declaration is applicable when not configured for</w:t>
            </w:r>
            <w:r w:rsidR="00140C1F" w:rsidRPr="00621307">
              <w:rPr>
                <w:rFonts w:cs="Arial"/>
                <w:i/>
                <w:iCs/>
                <w:szCs w:val="18"/>
                <w:highlight w:val="yellow"/>
                <w:lang w:eastAsia="zh-CN"/>
              </w:rPr>
              <w:t xml:space="preserve"> IAB simultaneous operation</w:t>
            </w:r>
            <w:r w:rsidR="00140C1F" w:rsidRPr="00621307">
              <w:rPr>
                <w:rFonts w:cs="Arial"/>
                <w:iCs/>
                <w:szCs w:val="18"/>
                <w:highlight w:val="yellow"/>
                <w:lang w:eastAsia="zh-CN"/>
              </w:rPr>
              <w:t>.</w:t>
            </w:r>
            <w:r w:rsidR="00140C1F">
              <w:rPr>
                <w:rFonts w:cs="Arial"/>
                <w:iCs/>
                <w:szCs w:val="18"/>
                <w:lang w:eastAsia="zh-CN"/>
              </w:rPr>
              <w:t xml:space="preserve"> </w:t>
            </w:r>
          </w:p>
        </w:tc>
      </w:tr>
    </w:tbl>
    <w:p w14:paraId="6E3D5B08" w14:textId="5CBE006E" w:rsidR="00DD07AB" w:rsidRDefault="00DD07AB" w:rsidP="007F2B77">
      <w:pPr>
        <w:spacing w:after="180"/>
        <w:rPr>
          <w:rFonts w:ascii="Times New Roman" w:hAnsi="Times New Roman" w:cs="Times New Roman"/>
        </w:rPr>
      </w:pPr>
    </w:p>
    <w:p w14:paraId="1C0D48DB" w14:textId="2C112869" w:rsidR="00621307" w:rsidRDefault="00621307" w:rsidP="007F2B77">
      <w:pPr>
        <w:spacing w:after="18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Test configuration, it would be </w:t>
      </w:r>
      <w:r w:rsidRPr="00621307">
        <w:rPr>
          <w:rFonts w:ascii="Times New Roman" w:hAnsi="Times New Roman" w:cs="Times New Roman"/>
        </w:rPr>
        <w:t>straight forward</w:t>
      </w:r>
      <w:r w:rsidR="00476674">
        <w:rPr>
          <w:rFonts w:ascii="Times New Roman" w:hAnsi="Times New Roman" w:cs="Times New Roman"/>
        </w:rPr>
        <w:t xml:space="preserve"> and </w:t>
      </w:r>
      <w:r w:rsidR="00476674" w:rsidRPr="00476674">
        <w:rPr>
          <w:rFonts w:ascii="Times New Roman" w:hAnsi="Times New Roman" w:cs="Times New Roman"/>
        </w:rPr>
        <w:t>intelligible</w:t>
      </w:r>
      <w:r>
        <w:rPr>
          <w:rFonts w:ascii="Times New Roman" w:hAnsi="Times New Roman" w:cs="Times New Roman"/>
        </w:rPr>
        <w:t xml:space="preserve"> to bring additional Test configuration for simultaneous operation of both contiguous and non-contiguous operation. </w:t>
      </w:r>
      <w:r w:rsidR="00476674">
        <w:rPr>
          <w:rFonts w:ascii="Times New Roman" w:hAnsi="Times New Roman" w:cs="Times New Roman"/>
        </w:rPr>
        <w:t xml:space="preserve">But we also recognize that it may be possible to limit the specification impact to extend the existing IABTC1 and IABTC3 to accommodate IAB simultaneous operation. Hence we are open for further discussion. </w:t>
      </w:r>
    </w:p>
    <w:p w14:paraId="11637169" w14:textId="6EF7E3A0" w:rsidR="00621307" w:rsidRPr="00621307" w:rsidRDefault="00621307" w:rsidP="00621307">
      <w:pPr>
        <w:spacing w:after="180"/>
        <w:rPr>
          <w:rFonts w:ascii="Times New Roman" w:hAnsi="Times New Roman" w:cs="Times New Roman"/>
          <w:lang w:val="en-GB"/>
        </w:rPr>
      </w:pPr>
      <w:r w:rsidRPr="00621307">
        <w:rPr>
          <w:rFonts w:ascii="Times New Roman" w:hAnsi="Times New Roman" w:cs="Times New Roman"/>
          <w:b/>
          <w:lang w:val="en-GB"/>
        </w:rPr>
        <w:t xml:space="preserve">Observation </w:t>
      </w:r>
      <w:r>
        <w:rPr>
          <w:rFonts w:ascii="Times New Roman" w:hAnsi="Times New Roman" w:cs="Times New Roman"/>
          <w:b/>
          <w:lang w:val="en-GB"/>
        </w:rPr>
        <w:t>3</w:t>
      </w:r>
      <w:r>
        <w:rPr>
          <w:rFonts w:ascii="Times New Roman" w:hAnsi="Times New Roman" w:cs="Times New Roman"/>
          <w:lang w:val="en-GB"/>
        </w:rPr>
        <w:t xml:space="preserve">: further study for impact on Test configuration is needed for simultaneous operation. </w:t>
      </w:r>
    </w:p>
    <w:p w14:paraId="18E46401" w14:textId="77777777" w:rsidR="00476674" w:rsidRDefault="00476674" w:rsidP="007F2B77">
      <w:pPr>
        <w:spacing w:after="180"/>
        <w:rPr>
          <w:rFonts w:ascii="Times New Roman" w:hAnsi="Times New Roman" w:cs="Times New Roman"/>
          <w:lang w:val="en-GB"/>
        </w:rPr>
      </w:pPr>
      <w:r>
        <w:rPr>
          <w:rFonts w:ascii="Times New Roman" w:hAnsi="Times New Roman" w:cs="Times New Roman"/>
          <w:lang w:val="en-GB"/>
        </w:rPr>
        <w:t xml:space="preserve">For Applicability of requirement, whether update needed would be dependent on Test configuration decision. If new IABTC to be introduced, dedicated sub-clause for IAB simultaneous operation should be added accordingly. </w:t>
      </w:r>
    </w:p>
    <w:p w14:paraId="727DAB78" w14:textId="63BBB3B4" w:rsidR="00476674" w:rsidRPr="00621307" w:rsidRDefault="00476674" w:rsidP="00476674">
      <w:pPr>
        <w:spacing w:after="180"/>
        <w:rPr>
          <w:rFonts w:ascii="Times New Roman" w:hAnsi="Times New Roman" w:cs="Times New Roman"/>
          <w:lang w:val="en-GB"/>
        </w:rPr>
      </w:pPr>
      <w:r w:rsidRPr="00621307">
        <w:rPr>
          <w:rFonts w:ascii="Times New Roman" w:hAnsi="Times New Roman" w:cs="Times New Roman"/>
          <w:b/>
          <w:lang w:val="en-GB"/>
        </w:rPr>
        <w:t xml:space="preserve">Observation </w:t>
      </w:r>
      <w:r>
        <w:rPr>
          <w:rFonts w:ascii="Times New Roman" w:hAnsi="Times New Roman" w:cs="Times New Roman"/>
          <w:b/>
          <w:lang w:val="en-GB"/>
        </w:rPr>
        <w:t>4</w:t>
      </w:r>
      <w:r>
        <w:rPr>
          <w:rFonts w:ascii="Times New Roman" w:hAnsi="Times New Roman" w:cs="Times New Roman"/>
          <w:lang w:val="en-GB"/>
        </w:rPr>
        <w:t xml:space="preserve">: whether Applicability of requirement will be impacted or not will dependent on decision for Test configuration. </w:t>
      </w:r>
    </w:p>
    <w:p w14:paraId="1818A5B7" w14:textId="592D89B1" w:rsidR="00884C7C" w:rsidRDefault="00884C7C" w:rsidP="007F2B77">
      <w:pPr>
        <w:spacing w:after="180"/>
        <w:rPr>
          <w:rFonts w:ascii="Times New Roman" w:hAnsi="Times New Roman" w:cs="Times New Roman"/>
          <w:lang w:val="en-GB"/>
        </w:rPr>
      </w:pPr>
      <w:r>
        <w:rPr>
          <w:rFonts w:ascii="Times New Roman" w:hAnsi="Times New Roman" w:cs="Times New Roman"/>
          <w:lang w:val="en-GB"/>
        </w:rPr>
        <w:t>For remaining sub-clauses in Clause 4 for both 38.176-1 and 38.176-2 except Test efficiency optimization, no impact is needed</w:t>
      </w:r>
      <w:r w:rsidR="00BE534D">
        <w:rPr>
          <w:rFonts w:ascii="Times New Roman" w:hAnsi="Times New Roman" w:cs="Times New Roman"/>
          <w:lang w:val="en-GB"/>
        </w:rPr>
        <w:t xml:space="preserve"> according to quick review</w:t>
      </w:r>
      <w:r>
        <w:rPr>
          <w:rFonts w:ascii="Times New Roman" w:hAnsi="Times New Roman" w:cs="Times New Roman"/>
          <w:lang w:val="en-GB"/>
        </w:rPr>
        <w:t xml:space="preserve">. Further consideration is needed especially on whether improvement is possible for emission related requirement for IAB declared to support simultaneous transmission. </w:t>
      </w:r>
    </w:p>
    <w:p w14:paraId="43DC1F78" w14:textId="5404BD11" w:rsidR="00884C7C" w:rsidRPr="00884C7C" w:rsidRDefault="00884C7C" w:rsidP="007F2B77">
      <w:pPr>
        <w:spacing w:after="180"/>
        <w:rPr>
          <w:rFonts w:ascii="Times New Roman" w:hAnsi="Times New Roman" w:cs="Times New Roman"/>
          <w:lang w:val="en-GB"/>
        </w:rPr>
      </w:pPr>
      <w:r w:rsidRPr="00621307">
        <w:rPr>
          <w:rFonts w:ascii="Times New Roman" w:hAnsi="Times New Roman" w:cs="Times New Roman"/>
          <w:b/>
          <w:lang w:val="en-GB"/>
        </w:rPr>
        <w:t xml:space="preserve">Observation </w:t>
      </w:r>
      <w:r>
        <w:rPr>
          <w:rFonts w:ascii="Times New Roman" w:hAnsi="Times New Roman" w:cs="Times New Roman"/>
          <w:b/>
          <w:lang w:val="en-GB"/>
        </w:rPr>
        <w:t>5</w:t>
      </w:r>
      <w:r>
        <w:rPr>
          <w:rFonts w:ascii="Times New Roman" w:hAnsi="Times New Roman" w:cs="Times New Roman"/>
          <w:lang w:val="en-GB"/>
        </w:rPr>
        <w:t xml:space="preserve">: further study for impact on Test efficiency optimization is needed for simultaneous operation. </w:t>
      </w:r>
    </w:p>
    <w:p w14:paraId="7633A5CA" w14:textId="26184680" w:rsidR="00CF486D" w:rsidRPr="00CF486D" w:rsidRDefault="00884C7C" w:rsidP="007F2B77">
      <w:pPr>
        <w:spacing w:after="180"/>
        <w:rPr>
          <w:rFonts w:ascii="Times New Roman" w:hAnsi="Times New Roman" w:cs="Times New Roman"/>
        </w:rPr>
      </w:pPr>
      <w:r>
        <w:rPr>
          <w:rFonts w:ascii="Times New Roman" w:hAnsi="Times New Roman" w:cs="Times New Roman"/>
        </w:rPr>
        <w:t>In addition, w</w:t>
      </w:r>
      <w:r w:rsidR="00E24E60">
        <w:rPr>
          <w:rFonts w:ascii="Times New Roman" w:hAnsi="Times New Roman" w:cs="Times New Roman"/>
        </w:rPr>
        <w:t>ith respect to simultaneous operation of I</w:t>
      </w:r>
      <w:r w:rsidR="00741CC7">
        <w:rPr>
          <w:rFonts w:ascii="Times New Roman" w:hAnsi="Times New Roman" w:cs="Times New Roman"/>
        </w:rPr>
        <w:t>AB-MT and IAB-DU, the companion draft CR is provided in [8] to introduce one dedicated sub-clause for this aspect with indication that the dedicated declaration is allowed for certain requirement to maintain existing RF requirement to reflect above agreement</w:t>
      </w:r>
      <w:r w:rsidR="00BE534D">
        <w:rPr>
          <w:rFonts w:ascii="Times New Roman" w:hAnsi="Times New Roman" w:cs="Times New Roman"/>
        </w:rPr>
        <w:t xml:space="preserve"> highlighted in green</w:t>
      </w:r>
      <w:r w:rsidR="00741CC7">
        <w:rPr>
          <w:rFonts w:ascii="Times New Roman" w:hAnsi="Times New Roman" w:cs="Times New Roman"/>
        </w:rPr>
        <w:t xml:space="preserve"> </w:t>
      </w:r>
      <w:r w:rsidR="00BE534D">
        <w:rPr>
          <w:rFonts w:ascii="Times New Roman" w:hAnsi="Times New Roman" w:cs="Times New Roman"/>
        </w:rPr>
        <w:t xml:space="preserve">as agreed in last RAN4 </w:t>
      </w:r>
      <w:r w:rsidR="00741CC7">
        <w:rPr>
          <w:rFonts w:ascii="Times New Roman" w:hAnsi="Times New Roman" w:cs="Times New Roman"/>
        </w:rPr>
        <w:t xml:space="preserve"> meeting.</w:t>
      </w:r>
      <w:r w:rsidR="00C7611C">
        <w:rPr>
          <w:rFonts w:ascii="Times New Roman" w:hAnsi="Times New Roman" w:cs="Times New Roman"/>
        </w:rPr>
        <w:t xml:space="preserve"> Similar sub-clause should be introduced in conformance testing specification to keep alignment with core specification as usual. </w:t>
      </w:r>
    </w:p>
    <w:p w14:paraId="632AFE4E" w14:textId="4D76DB3D" w:rsidR="009F7A16" w:rsidRDefault="00884C7C" w:rsidP="00884C7C">
      <w:pPr>
        <w:spacing w:after="180"/>
        <w:rPr>
          <w:rFonts w:ascii="Times New Roman" w:hAnsi="Times New Roman" w:cs="Times New Roman"/>
          <w:lang w:val="en-GB"/>
        </w:rPr>
      </w:pPr>
      <w:r w:rsidRPr="00621307">
        <w:rPr>
          <w:rFonts w:ascii="Times New Roman" w:hAnsi="Times New Roman" w:cs="Times New Roman"/>
          <w:b/>
          <w:lang w:val="en-GB"/>
        </w:rPr>
        <w:t xml:space="preserve">Observation </w:t>
      </w:r>
      <w:r>
        <w:rPr>
          <w:rFonts w:ascii="Times New Roman" w:hAnsi="Times New Roman" w:cs="Times New Roman"/>
          <w:b/>
          <w:lang w:val="en-GB"/>
        </w:rPr>
        <w:t>6</w:t>
      </w:r>
      <w:r>
        <w:rPr>
          <w:rFonts w:ascii="Times New Roman" w:hAnsi="Times New Roman" w:cs="Times New Roman"/>
          <w:lang w:val="en-GB"/>
        </w:rPr>
        <w:t xml:space="preserve">: alignment between core specification and conformance testing specification should be considered. </w:t>
      </w:r>
    </w:p>
    <w:p w14:paraId="63C5A37A" w14:textId="77777777" w:rsidR="00884C7C" w:rsidRPr="009F7A16" w:rsidRDefault="00884C7C" w:rsidP="00884C7C">
      <w:pPr>
        <w:spacing w:after="180"/>
        <w:rPr>
          <w:rFonts w:ascii="Times New Roman" w:hAnsi="Times New Roman" w:cs="Times New Roman"/>
          <w:lang w:val="en-GB"/>
        </w:rPr>
      </w:pPr>
      <w:bookmarkStart w:id="0" w:name="_GoBack"/>
      <w:bookmarkEnd w:id="0"/>
    </w:p>
    <w:p w14:paraId="4B5CBA1E" w14:textId="63DFEDD9" w:rsidR="00781F52" w:rsidRDefault="00781F52" w:rsidP="00781F52">
      <w:pPr>
        <w:pStyle w:val="1"/>
        <w:rPr>
          <w:rFonts w:cs="Arial"/>
          <w:lang w:eastAsia="zh-CN"/>
        </w:rPr>
      </w:pPr>
      <w:r>
        <w:rPr>
          <w:rFonts w:cs="Arial"/>
          <w:lang w:eastAsia="zh-CN"/>
        </w:rPr>
        <w:lastRenderedPageBreak/>
        <w:t xml:space="preserve">Conclusion   </w:t>
      </w:r>
    </w:p>
    <w:p w14:paraId="208EC963" w14:textId="476DF4F7" w:rsidR="00DB3D42" w:rsidRPr="007B1DFB" w:rsidRDefault="000F70D2" w:rsidP="00DB3D42">
      <w:pPr>
        <w:rPr>
          <w:rFonts w:ascii="Times New Roman" w:hAnsi="Times New Roman" w:cs="Times New Roman"/>
          <w:szCs w:val="21"/>
        </w:rPr>
      </w:pPr>
      <w:r w:rsidRPr="00617E21">
        <w:rPr>
          <w:rFonts w:ascii="Times New Roman" w:hAnsi="Times New Roman" w:cs="Times New Roman"/>
          <w:szCs w:val="21"/>
          <w:lang w:val="en-GB"/>
        </w:rPr>
        <w:t xml:space="preserve">In this contribution, </w:t>
      </w:r>
      <w:r w:rsidR="00CF486D">
        <w:rPr>
          <w:rFonts w:ascii="Times New Roman" w:hAnsi="Times New Roman" w:cs="Times New Roman"/>
          <w:szCs w:val="21"/>
          <w:lang w:val="en-GB"/>
        </w:rPr>
        <w:t>the conformance testing impact</w:t>
      </w:r>
      <w:r w:rsidR="00E24E60">
        <w:rPr>
          <w:rFonts w:ascii="Times New Roman" w:hAnsi="Times New Roman" w:cs="Times New Roman"/>
          <w:szCs w:val="21"/>
          <w:lang w:val="en-GB"/>
        </w:rPr>
        <w:t xml:space="preserve"> on </w:t>
      </w:r>
      <w:r w:rsidR="00CF486D">
        <w:rPr>
          <w:rFonts w:ascii="Times New Roman" w:hAnsi="Times New Roman" w:cs="Times New Roman"/>
          <w:szCs w:val="21"/>
          <w:lang w:val="en-GB"/>
        </w:rPr>
        <w:t>due to Rel-17 IAB enhancement on simultaneous operation has been discussed initially</w:t>
      </w:r>
      <w:r w:rsidR="00461ED7">
        <w:rPr>
          <w:rFonts w:ascii="Times New Roman" w:hAnsi="Times New Roman" w:cs="Times New Roman"/>
          <w:szCs w:val="21"/>
          <w:lang w:val="en-GB"/>
        </w:rPr>
        <w:t xml:space="preserve"> mainly for general session</w:t>
      </w:r>
      <w:r w:rsidR="00CF486D">
        <w:rPr>
          <w:rFonts w:ascii="Times New Roman" w:hAnsi="Times New Roman" w:cs="Times New Roman"/>
          <w:szCs w:val="21"/>
          <w:lang w:val="en-GB"/>
        </w:rPr>
        <w:t>. It’s suggested to study further on the impact on corresponding declaration, test configuration</w:t>
      </w:r>
      <w:r w:rsidR="00E24E60">
        <w:rPr>
          <w:rFonts w:ascii="Times New Roman" w:hAnsi="Times New Roman" w:cs="Times New Roman"/>
          <w:szCs w:val="21"/>
          <w:lang w:val="en-GB"/>
        </w:rPr>
        <w:t>,</w:t>
      </w:r>
      <w:r w:rsidR="00CF486D">
        <w:rPr>
          <w:rFonts w:ascii="Times New Roman" w:hAnsi="Times New Roman" w:cs="Times New Roman"/>
          <w:szCs w:val="21"/>
          <w:lang w:val="en-GB"/>
        </w:rPr>
        <w:t xml:space="preserve"> requirement applicability rule</w:t>
      </w:r>
      <w:r w:rsidR="00461ED7">
        <w:rPr>
          <w:rFonts w:ascii="Times New Roman" w:hAnsi="Times New Roman" w:cs="Times New Roman"/>
          <w:szCs w:val="21"/>
          <w:lang w:val="en-GB"/>
        </w:rPr>
        <w:t>, and test</w:t>
      </w:r>
      <w:r w:rsidR="00E24E60">
        <w:rPr>
          <w:rFonts w:ascii="Times New Roman" w:hAnsi="Times New Roman" w:cs="Times New Roman"/>
          <w:szCs w:val="21"/>
          <w:lang w:val="en-GB"/>
        </w:rPr>
        <w:t xml:space="preserve"> efficiency improvement </w:t>
      </w:r>
      <w:r w:rsidR="00CF486D">
        <w:rPr>
          <w:rFonts w:ascii="Times New Roman" w:hAnsi="Times New Roman" w:cs="Times New Roman"/>
          <w:szCs w:val="21"/>
          <w:lang w:val="en-GB"/>
        </w:rPr>
        <w:t xml:space="preserve">in future meeting. </w:t>
      </w:r>
      <w:r w:rsidR="00461ED7">
        <w:rPr>
          <w:rFonts w:ascii="Times New Roman" w:hAnsi="Times New Roman" w:cs="Times New Roman"/>
          <w:szCs w:val="21"/>
          <w:lang w:val="en-GB"/>
        </w:rPr>
        <w:t xml:space="preserve">Review on </w:t>
      </w:r>
      <w:r w:rsidR="004C3EBD">
        <w:rPr>
          <w:rFonts w:ascii="Times New Roman" w:hAnsi="Times New Roman" w:cs="Times New Roman"/>
          <w:szCs w:val="21"/>
          <w:lang w:val="en-GB"/>
        </w:rPr>
        <w:t>details for each transmitter and receiver test case to see whether any update needed for simultaneous operation is not precluded in next step</w:t>
      </w:r>
      <w:r w:rsidR="00BE534D">
        <w:rPr>
          <w:rFonts w:ascii="Times New Roman" w:hAnsi="Times New Roman" w:cs="Times New Roman"/>
          <w:szCs w:val="21"/>
          <w:lang w:val="en-GB"/>
        </w:rPr>
        <w:t xml:space="preserve"> as well.</w:t>
      </w:r>
      <w:r w:rsidR="004C3EBD">
        <w:rPr>
          <w:rFonts w:ascii="Times New Roman" w:hAnsi="Times New Roman" w:cs="Times New Roman"/>
          <w:szCs w:val="21"/>
          <w:lang w:val="en-GB"/>
        </w:rPr>
        <w:t xml:space="preserve"> </w:t>
      </w:r>
      <w:r w:rsidR="00CF486D">
        <w:rPr>
          <w:rFonts w:ascii="Times New Roman" w:hAnsi="Times New Roman" w:cs="Times New Roman"/>
          <w:szCs w:val="21"/>
          <w:lang w:val="en-GB"/>
        </w:rPr>
        <w:t>In addition, if the timing error for timing case 6 is agreed</w:t>
      </w:r>
      <w:r w:rsidR="007B1DFB">
        <w:rPr>
          <w:rFonts w:ascii="Times New Roman" w:hAnsi="Times New Roman" w:cs="Times New Roman"/>
          <w:szCs w:val="21"/>
          <w:lang w:val="en-GB"/>
        </w:rPr>
        <w:t xml:space="preserve"> to be defined, corresponding test case</w:t>
      </w:r>
      <w:r w:rsidR="00FC3604">
        <w:rPr>
          <w:rFonts w:ascii="Times New Roman" w:hAnsi="Times New Roman" w:cs="Times New Roman"/>
          <w:szCs w:val="21"/>
          <w:lang w:val="en-GB"/>
        </w:rPr>
        <w:t xml:space="preserve"> should</w:t>
      </w:r>
      <w:r w:rsidR="007B1DFB">
        <w:rPr>
          <w:rFonts w:ascii="Times New Roman" w:hAnsi="Times New Roman" w:cs="Times New Roman"/>
          <w:szCs w:val="21"/>
          <w:lang w:val="en-GB"/>
        </w:rPr>
        <w:t xml:space="preserve"> be </w:t>
      </w:r>
      <w:r w:rsidR="00FC3604">
        <w:rPr>
          <w:rFonts w:ascii="Times New Roman" w:hAnsi="Times New Roman" w:cs="Times New Roman"/>
          <w:szCs w:val="21"/>
          <w:lang w:val="en-GB"/>
        </w:rPr>
        <w:t xml:space="preserve">included in future discussion. </w:t>
      </w:r>
      <w:r w:rsidR="007B1DFB">
        <w:rPr>
          <w:rFonts w:ascii="Times New Roman" w:hAnsi="Times New Roman" w:cs="Times New Roman"/>
          <w:szCs w:val="21"/>
          <w:lang w:val="en-GB"/>
        </w:rPr>
        <w:t xml:space="preserve"> </w:t>
      </w:r>
    </w:p>
    <w:p w14:paraId="277971BB" w14:textId="77777777" w:rsidR="006C170D" w:rsidRPr="009676EF" w:rsidRDefault="005F1418" w:rsidP="009676EF">
      <w:pPr>
        <w:pStyle w:val="1"/>
        <w:rPr>
          <w:rFonts w:cs="Arial"/>
          <w:lang w:eastAsia="zh-CN"/>
        </w:rPr>
      </w:pPr>
      <w:r>
        <w:rPr>
          <w:rFonts w:cs="Arial"/>
          <w:lang w:eastAsia="zh-CN"/>
        </w:rPr>
        <w:t>Reference</w:t>
      </w:r>
      <w:r w:rsidR="004B40D6">
        <w:rPr>
          <w:rFonts w:cs="Arial"/>
          <w:lang w:eastAsia="zh-CN"/>
        </w:rPr>
        <w:t xml:space="preserve"> </w:t>
      </w:r>
    </w:p>
    <w:p w14:paraId="1A153795" w14:textId="14A45212" w:rsidR="008851BA" w:rsidRPr="00576E7E" w:rsidRDefault="008851BA" w:rsidP="008851BA">
      <w:pPr>
        <w:widowControl/>
        <w:jc w:val="left"/>
        <w:rPr>
          <w:rFonts w:ascii="Times New Roman" w:eastAsia="宋体" w:hAnsi="Times New Roman" w:cs="Times New Roman"/>
          <w:sz w:val="20"/>
          <w:szCs w:val="20"/>
          <w:lang w:eastAsia="ja-JP"/>
        </w:rPr>
      </w:pPr>
      <w:r w:rsidRPr="00576E7E">
        <w:rPr>
          <w:rFonts w:ascii="Times New Roman" w:eastAsia="宋体" w:hAnsi="Times New Roman" w:cs="Times New Roman"/>
          <w:sz w:val="20"/>
          <w:szCs w:val="20"/>
          <w:lang w:eastAsia="ja-JP"/>
        </w:rPr>
        <w:t>[</w:t>
      </w:r>
      <w:r>
        <w:rPr>
          <w:rFonts w:ascii="Times New Roman" w:eastAsia="宋体" w:hAnsi="Times New Roman" w:cs="Times New Roman"/>
          <w:sz w:val="20"/>
          <w:szCs w:val="20"/>
          <w:lang w:eastAsia="ja-JP"/>
        </w:rPr>
        <w:t>1</w:t>
      </w:r>
      <w:r w:rsidRPr="00576E7E">
        <w:rPr>
          <w:rFonts w:ascii="Times New Roman" w:eastAsia="宋体" w:hAnsi="Times New Roman" w:cs="Times New Roman"/>
          <w:sz w:val="20"/>
          <w:szCs w:val="20"/>
          <w:lang w:eastAsia="ja-JP"/>
        </w:rPr>
        <w:t xml:space="preserve">] </w:t>
      </w:r>
      <w:r w:rsidRPr="008851BA">
        <w:rPr>
          <w:rFonts w:ascii="Times New Roman" w:eastAsia="宋体" w:hAnsi="Times New Roman" w:cs="Times New Roman"/>
          <w:sz w:val="20"/>
          <w:szCs w:val="20"/>
          <w:lang w:eastAsia="ja-JP"/>
        </w:rPr>
        <w:t>RP-213668</w:t>
      </w:r>
      <w:r>
        <w:rPr>
          <w:rFonts w:ascii="Times New Roman" w:eastAsia="宋体" w:hAnsi="Times New Roman" w:cs="Times New Roman"/>
          <w:sz w:val="20"/>
          <w:szCs w:val="20"/>
          <w:lang w:eastAsia="ja-JP"/>
        </w:rPr>
        <w:t xml:space="preserve">, </w:t>
      </w:r>
      <w:r w:rsidRPr="008851BA">
        <w:rPr>
          <w:rFonts w:ascii="Times New Roman" w:eastAsia="宋体" w:hAnsi="Times New Roman" w:cs="Times New Roman"/>
          <w:sz w:val="20"/>
          <w:szCs w:val="20"/>
          <w:lang w:eastAsia="ja-JP"/>
        </w:rPr>
        <w:t>Revised WID on Enhancements to Integrated Access and Backhaul for NR</w:t>
      </w:r>
    </w:p>
    <w:p w14:paraId="335BD4A9" w14:textId="6AD6AC74" w:rsidR="00D30F2E" w:rsidRPr="00D30F2E" w:rsidRDefault="00BD2186" w:rsidP="008851BA">
      <w:pPr>
        <w:rPr>
          <w:rFonts w:ascii="Times New Roman" w:eastAsia="MS Mincho" w:hAnsi="Times New Roman" w:cs="Times New Roman"/>
          <w:sz w:val="20"/>
          <w:szCs w:val="20"/>
          <w:lang w:eastAsia="ja-JP"/>
        </w:rPr>
      </w:pPr>
      <w:r w:rsidRPr="009E03E4">
        <w:rPr>
          <w:rFonts w:ascii="Times New Roman" w:eastAsia="宋体" w:hAnsi="Times New Roman" w:cs="Times New Roman"/>
          <w:sz w:val="20"/>
          <w:szCs w:val="20"/>
          <w:lang w:eastAsia="ja-JP"/>
        </w:rPr>
        <w:t>[</w:t>
      </w:r>
      <w:r w:rsidR="008851BA">
        <w:rPr>
          <w:rFonts w:ascii="Times New Roman" w:eastAsia="宋体" w:hAnsi="Times New Roman" w:cs="Times New Roman"/>
          <w:sz w:val="20"/>
          <w:szCs w:val="20"/>
          <w:lang w:eastAsia="ja-JP"/>
        </w:rPr>
        <w:t>2</w:t>
      </w:r>
      <w:r w:rsidRPr="009E03E4">
        <w:rPr>
          <w:rFonts w:ascii="Times New Roman" w:eastAsia="宋体" w:hAnsi="Times New Roman" w:cs="Times New Roman"/>
          <w:sz w:val="20"/>
          <w:szCs w:val="20"/>
          <w:lang w:eastAsia="ja-JP"/>
        </w:rPr>
        <w:t>] R1-2112965, RAN1 decisions for Rel-17 eIAB</w:t>
      </w:r>
    </w:p>
    <w:p w14:paraId="57CC835F" w14:textId="0CB53F38" w:rsidR="006C70B2" w:rsidRDefault="00B70EE7" w:rsidP="00EA6189">
      <w:pPr>
        <w:rPr>
          <w:rFonts w:ascii="Times New Roman" w:eastAsia="宋体" w:hAnsi="Times New Roman" w:cs="Times New Roman"/>
          <w:sz w:val="20"/>
          <w:szCs w:val="20"/>
          <w:lang w:eastAsia="ja-JP"/>
        </w:rPr>
      </w:pPr>
      <w:r w:rsidRPr="009E03E4">
        <w:rPr>
          <w:rFonts w:ascii="Times New Roman" w:eastAsia="宋体" w:hAnsi="Times New Roman" w:cs="Times New Roman"/>
          <w:sz w:val="20"/>
          <w:szCs w:val="20"/>
          <w:lang w:eastAsia="ja-JP"/>
        </w:rPr>
        <w:t>[</w:t>
      </w:r>
      <w:r w:rsidR="008851BA">
        <w:rPr>
          <w:rFonts w:ascii="Times New Roman" w:eastAsia="宋体" w:hAnsi="Times New Roman" w:cs="Times New Roman"/>
          <w:sz w:val="20"/>
          <w:szCs w:val="20"/>
          <w:lang w:eastAsia="ja-JP"/>
        </w:rPr>
        <w:t>3</w:t>
      </w:r>
      <w:r w:rsidRPr="009E03E4">
        <w:rPr>
          <w:rFonts w:ascii="Times New Roman" w:eastAsia="宋体" w:hAnsi="Times New Roman" w:cs="Times New Roman"/>
          <w:sz w:val="20"/>
          <w:szCs w:val="20"/>
          <w:lang w:eastAsia="ja-JP"/>
        </w:rPr>
        <w:t xml:space="preserve">] </w:t>
      </w:r>
      <w:r w:rsidR="00576E7E" w:rsidRPr="00576E7E">
        <w:rPr>
          <w:rFonts w:ascii="Times New Roman" w:eastAsia="宋体" w:hAnsi="Times New Roman" w:cs="Times New Roman"/>
          <w:sz w:val="20"/>
          <w:szCs w:val="20"/>
          <w:lang w:eastAsia="ja-JP"/>
        </w:rPr>
        <w:t>R4-2203505</w:t>
      </w:r>
      <w:r w:rsidR="006C70B2" w:rsidRPr="009E03E4">
        <w:rPr>
          <w:rFonts w:ascii="Times New Roman" w:eastAsia="宋体" w:hAnsi="Times New Roman" w:cs="Times New Roman"/>
          <w:sz w:val="20"/>
          <w:szCs w:val="20"/>
          <w:lang w:eastAsia="ja-JP"/>
        </w:rPr>
        <w:t>,</w:t>
      </w:r>
      <w:r w:rsidR="006C70B2" w:rsidRPr="00576E7E">
        <w:rPr>
          <w:rFonts w:ascii="Times New Roman" w:eastAsia="宋体" w:hAnsi="Times New Roman" w:cs="Times New Roman"/>
          <w:sz w:val="20"/>
          <w:szCs w:val="20"/>
          <w:lang w:eastAsia="ja-JP"/>
        </w:rPr>
        <w:t xml:space="preserve"> </w:t>
      </w:r>
      <w:r w:rsidR="00576E7E" w:rsidRPr="00576E7E">
        <w:rPr>
          <w:rFonts w:ascii="Times New Roman" w:eastAsia="宋体" w:hAnsi="Times New Roman" w:cs="Times New Roman"/>
          <w:sz w:val="20"/>
          <w:szCs w:val="20"/>
          <w:lang w:eastAsia="ja-JP"/>
        </w:rPr>
        <w:t>LS on updated Rel-17 RAN1 UE features list for NR</w:t>
      </w:r>
    </w:p>
    <w:p w14:paraId="161348E7" w14:textId="242A74AF" w:rsidR="00D165EE" w:rsidRPr="00885B0B" w:rsidRDefault="00062938" w:rsidP="00EA6189">
      <w:pPr>
        <w:rPr>
          <w:rFonts w:ascii="Times New Roman" w:eastAsia="宋体" w:hAnsi="Times New Roman" w:cs="Times New Roman"/>
          <w:sz w:val="20"/>
          <w:szCs w:val="20"/>
          <w:lang w:eastAsia="ja-JP"/>
        </w:rPr>
      </w:pPr>
      <w:r w:rsidRPr="009E03E4">
        <w:rPr>
          <w:rFonts w:ascii="Times New Roman" w:eastAsia="宋体" w:hAnsi="Times New Roman" w:cs="Times New Roman"/>
          <w:sz w:val="20"/>
          <w:szCs w:val="20"/>
          <w:lang w:eastAsia="ja-JP"/>
        </w:rPr>
        <w:t>[</w:t>
      </w:r>
      <w:r>
        <w:rPr>
          <w:rFonts w:ascii="Times New Roman" w:eastAsia="宋体" w:hAnsi="Times New Roman" w:cs="Times New Roman"/>
          <w:sz w:val="20"/>
          <w:szCs w:val="20"/>
          <w:lang w:eastAsia="ja-JP"/>
        </w:rPr>
        <w:t>4</w:t>
      </w:r>
      <w:r w:rsidRPr="009E03E4">
        <w:rPr>
          <w:rFonts w:ascii="Times New Roman" w:eastAsia="宋体" w:hAnsi="Times New Roman" w:cs="Times New Roman"/>
          <w:sz w:val="20"/>
          <w:szCs w:val="20"/>
          <w:lang w:eastAsia="ja-JP"/>
        </w:rPr>
        <w:t xml:space="preserve">] </w:t>
      </w:r>
      <w:r w:rsidR="00D165EE" w:rsidRPr="009E03E4">
        <w:rPr>
          <w:rFonts w:ascii="Times New Roman" w:eastAsia="宋体" w:hAnsi="Times New Roman" w:cs="Times New Roman"/>
          <w:sz w:val="20"/>
          <w:szCs w:val="20"/>
          <w:lang w:eastAsia="ja-JP"/>
        </w:rPr>
        <w:t>R1-2112977,</w:t>
      </w:r>
      <w:r w:rsidR="00D165EE" w:rsidRPr="00885B0B">
        <w:rPr>
          <w:rFonts w:ascii="Times New Roman" w:eastAsia="宋体" w:hAnsi="Times New Roman" w:cs="Times New Roman"/>
          <w:sz w:val="20"/>
          <w:szCs w:val="20"/>
          <w:lang w:eastAsia="ja-JP"/>
        </w:rPr>
        <w:t xml:space="preserve"> LS on updated Rel-17 LTE and NR higher-layers parameter list</w:t>
      </w:r>
    </w:p>
    <w:p w14:paraId="686659CA" w14:textId="3C001200" w:rsidR="0085670B" w:rsidRPr="00885B0B" w:rsidRDefault="0085670B" w:rsidP="00EA6189">
      <w:pPr>
        <w:rPr>
          <w:rFonts w:ascii="Times New Roman" w:eastAsia="宋体" w:hAnsi="Times New Roman" w:cs="Times New Roman"/>
          <w:sz w:val="20"/>
          <w:szCs w:val="20"/>
          <w:lang w:eastAsia="ja-JP"/>
        </w:rPr>
      </w:pPr>
      <w:r w:rsidRPr="00885B0B">
        <w:rPr>
          <w:rFonts w:ascii="Times New Roman" w:eastAsia="宋体" w:hAnsi="Times New Roman" w:cs="Times New Roman"/>
          <w:sz w:val="20"/>
          <w:szCs w:val="20"/>
          <w:lang w:eastAsia="ja-JP"/>
        </w:rPr>
        <w:t>[5] TS38.176-1</w:t>
      </w:r>
      <w:r w:rsidR="00885B0B" w:rsidRPr="00885B0B">
        <w:rPr>
          <w:rFonts w:ascii="Times New Roman" w:eastAsia="宋体" w:hAnsi="Times New Roman" w:cs="Times New Roman"/>
          <w:sz w:val="20"/>
          <w:szCs w:val="20"/>
          <w:lang w:eastAsia="ja-JP"/>
        </w:rPr>
        <w:t>: IAB conformance testing Part 1: Conducted conformance testing</w:t>
      </w:r>
    </w:p>
    <w:p w14:paraId="72C8F9FD" w14:textId="73A01A29" w:rsidR="0085670B" w:rsidRPr="00885B0B" w:rsidRDefault="0085670B" w:rsidP="00EA6189">
      <w:pPr>
        <w:rPr>
          <w:rFonts w:ascii="Times New Roman" w:eastAsia="宋体" w:hAnsi="Times New Roman" w:cs="Times New Roman"/>
          <w:sz w:val="20"/>
          <w:szCs w:val="20"/>
          <w:lang w:eastAsia="ja-JP"/>
        </w:rPr>
      </w:pPr>
      <w:r w:rsidRPr="00885B0B">
        <w:rPr>
          <w:rFonts w:ascii="Times New Roman" w:eastAsia="宋体" w:hAnsi="Times New Roman" w:cs="Times New Roman"/>
          <w:sz w:val="20"/>
          <w:szCs w:val="20"/>
          <w:lang w:eastAsia="ja-JP"/>
        </w:rPr>
        <w:t>[6] TS38.176-2</w:t>
      </w:r>
      <w:r w:rsidR="00885B0B" w:rsidRPr="00885B0B">
        <w:rPr>
          <w:rFonts w:ascii="Times New Roman" w:eastAsia="宋体" w:hAnsi="Times New Roman" w:cs="Times New Roman"/>
          <w:sz w:val="20"/>
          <w:szCs w:val="20"/>
          <w:lang w:eastAsia="ja-JP"/>
        </w:rPr>
        <w:t>: IAB conformance testing Part 2: Radiated conformance testing</w:t>
      </w:r>
    </w:p>
    <w:p w14:paraId="7891C3CF" w14:textId="12D9071C" w:rsidR="00853F8F" w:rsidRDefault="00CF486D" w:rsidP="00EA6189">
      <w:pPr>
        <w:rPr>
          <w:rFonts w:ascii="Times New Roman" w:eastAsia="宋体" w:hAnsi="Times New Roman" w:cs="Times New Roman"/>
          <w:sz w:val="20"/>
          <w:szCs w:val="20"/>
          <w:lang w:eastAsia="ja-JP"/>
        </w:rPr>
      </w:pPr>
      <w:r>
        <w:rPr>
          <w:rFonts w:ascii="Times New Roman" w:eastAsia="宋体" w:hAnsi="Times New Roman" w:cs="Times New Roman"/>
          <w:sz w:val="20"/>
          <w:szCs w:val="20"/>
          <w:lang w:eastAsia="ja-JP"/>
        </w:rPr>
        <w:t xml:space="preserve">[7] </w:t>
      </w:r>
      <w:r w:rsidRPr="00D7199A">
        <w:rPr>
          <w:rFonts w:ascii="Times New Roman" w:eastAsia="宋体" w:hAnsi="Times New Roman" w:cs="Times New Roman"/>
          <w:sz w:val="20"/>
          <w:szCs w:val="20"/>
          <w:lang w:eastAsia="ja-JP"/>
        </w:rPr>
        <w:t>R4-2120679</w:t>
      </w:r>
      <w:r w:rsidRPr="009E03E4">
        <w:rPr>
          <w:rFonts w:ascii="Times New Roman" w:eastAsia="宋体" w:hAnsi="Times New Roman" w:cs="Times New Roman"/>
          <w:sz w:val="20"/>
          <w:szCs w:val="20"/>
          <w:lang w:eastAsia="ja-JP"/>
        </w:rPr>
        <w:t xml:space="preserve">, </w:t>
      </w:r>
      <w:r w:rsidRPr="00D7199A">
        <w:rPr>
          <w:rFonts w:ascii="Times New Roman" w:eastAsia="宋体" w:hAnsi="Times New Roman" w:cs="Times New Roman"/>
          <w:sz w:val="20"/>
          <w:szCs w:val="20"/>
          <w:lang w:eastAsia="ja-JP"/>
        </w:rPr>
        <w:t>WF on specification impact for Rel-17 eIAB</w:t>
      </w:r>
    </w:p>
    <w:p w14:paraId="023C2184" w14:textId="7A478453" w:rsidR="007B1DFB" w:rsidRPr="009E03E4" w:rsidRDefault="007B1DFB" w:rsidP="00EA6189">
      <w:pPr>
        <w:rPr>
          <w:rFonts w:ascii="Times New Roman" w:eastAsia="宋体" w:hAnsi="Times New Roman" w:cs="Times New Roman"/>
          <w:sz w:val="20"/>
          <w:szCs w:val="20"/>
          <w:lang w:eastAsia="ja-JP"/>
        </w:rPr>
      </w:pPr>
      <w:r>
        <w:rPr>
          <w:rFonts w:ascii="Times New Roman" w:eastAsia="宋体" w:hAnsi="Times New Roman" w:cs="Times New Roman"/>
          <w:sz w:val="20"/>
          <w:szCs w:val="20"/>
          <w:lang w:eastAsia="ja-JP"/>
        </w:rPr>
        <w:t>[8] R4-220</w:t>
      </w:r>
      <w:r w:rsidR="00C0090F">
        <w:rPr>
          <w:rFonts w:ascii="Times New Roman" w:eastAsia="宋体" w:hAnsi="Times New Roman" w:cs="Times New Roman"/>
          <w:sz w:val="20"/>
          <w:szCs w:val="20"/>
          <w:lang w:eastAsia="ja-JP"/>
        </w:rPr>
        <w:t>4579</w:t>
      </w:r>
      <w:r w:rsidRPr="00885B0B">
        <w:rPr>
          <w:rFonts w:ascii="Times New Roman" w:eastAsia="宋体" w:hAnsi="Times New Roman" w:cs="Times New Roman"/>
          <w:sz w:val="20"/>
          <w:szCs w:val="20"/>
          <w:lang w:eastAsia="ja-JP"/>
        </w:rPr>
        <w:t>, Draft</w:t>
      </w:r>
      <w:r w:rsidR="00BE534D">
        <w:rPr>
          <w:rFonts w:ascii="Times New Roman" w:eastAsia="宋体" w:hAnsi="Times New Roman" w:cs="Times New Roman"/>
          <w:sz w:val="20"/>
          <w:szCs w:val="20"/>
          <w:lang w:eastAsia="ja-JP"/>
        </w:rPr>
        <w:t xml:space="preserve"> </w:t>
      </w:r>
      <w:r w:rsidRPr="00885B0B">
        <w:rPr>
          <w:rFonts w:ascii="Times New Roman" w:eastAsia="宋体" w:hAnsi="Times New Roman" w:cs="Times New Roman"/>
          <w:sz w:val="20"/>
          <w:szCs w:val="20"/>
          <w:lang w:eastAsia="ja-JP"/>
        </w:rPr>
        <w:t>CR to 38.174: update to general clause for R17 enhancement</w:t>
      </w:r>
      <w:r>
        <w:rPr>
          <w:rFonts w:ascii="Times New Roman" w:eastAsia="宋体" w:hAnsi="Times New Roman" w:cs="Times New Roman"/>
          <w:sz w:val="20"/>
          <w:szCs w:val="20"/>
          <w:lang w:eastAsia="ja-JP"/>
        </w:rPr>
        <w:t xml:space="preserve"> </w:t>
      </w:r>
    </w:p>
    <w:sectPr w:rsidR="007B1DFB" w:rsidRPr="009E03E4" w:rsidSect="00FA4EB4">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5E632" w14:textId="77777777" w:rsidR="00852DB8" w:rsidRDefault="00852DB8" w:rsidP="006C170D">
      <w:r>
        <w:separator/>
      </w:r>
    </w:p>
  </w:endnote>
  <w:endnote w:type="continuationSeparator" w:id="0">
    <w:p w14:paraId="65AECA6E" w14:textId="77777777" w:rsidR="00852DB8" w:rsidRDefault="00852DB8"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53940" w14:textId="77777777" w:rsidR="00852DB8" w:rsidRDefault="00852DB8" w:rsidP="006C170D">
      <w:r>
        <w:separator/>
      </w:r>
    </w:p>
  </w:footnote>
  <w:footnote w:type="continuationSeparator" w:id="0">
    <w:p w14:paraId="57E0BE0E" w14:textId="77777777" w:rsidR="00852DB8" w:rsidRDefault="00852DB8"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35D51"/>
    <w:multiLevelType w:val="hybridMultilevel"/>
    <w:tmpl w:val="6BF2A026"/>
    <w:lvl w:ilvl="0" w:tplc="3C004340">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7774ED"/>
    <w:multiLevelType w:val="multilevel"/>
    <w:tmpl w:val="31A4D206"/>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 w15:restartNumberingAfterBreak="0">
    <w:nsid w:val="12B31E89"/>
    <w:multiLevelType w:val="multilevel"/>
    <w:tmpl w:val="12B31E8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C10DA1"/>
    <w:multiLevelType w:val="multilevel"/>
    <w:tmpl w:val="13FAC7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A3145E7"/>
    <w:multiLevelType w:val="multilevel"/>
    <w:tmpl w:val="DC44A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D6E1099"/>
    <w:multiLevelType w:val="hybridMultilevel"/>
    <w:tmpl w:val="F33CDCAA"/>
    <w:lvl w:ilvl="0" w:tplc="A06282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725541"/>
    <w:multiLevelType w:val="hybridMultilevel"/>
    <w:tmpl w:val="93D8571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11"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DD6176"/>
    <w:multiLevelType w:val="multilevel"/>
    <w:tmpl w:val="8B98C8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6B25CB3"/>
    <w:multiLevelType w:val="hybridMultilevel"/>
    <w:tmpl w:val="678AB35A"/>
    <w:lvl w:ilvl="0" w:tplc="B05EAE4E">
      <w:numFmt w:val="bullet"/>
      <w:lvlText w:val=""/>
      <w:lvlJc w:val="left"/>
      <w:pPr>
        <w:ind w:left="360" w:hanging="360"/>
      </w:pPr>
      <w:rPr>
        <w:rFonts w:ascii="Wingdings" w:eastAsia="Calibri" w:hAnsi="Wingding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F304ED"/>
    <w:multiLevelType w:val="hybridMultilevel"/>
    <w:tmpl w:val="5038DBC2"/>
    <w:lvl w:ilvl="0" w:tplc="E2AA3BC4">
      <w:start w:val="1"/>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7D0831"/>
    <w:multiLevelType w:val="multilevel"/>
    <w:tmpl w:val="F0B04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0406B60"/>
    <w:multiLevelType w:val="hybridMultilevel"/>
    <w:tmpl w:val="FF48296C"/>
    <w:lvl w:ilvl="0" w:tplc="1ADCE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844F7F"/>
    <w:multiLevelType w:val="multilevel"/>
    <w:tmpl w:val="EF9485D2"/>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4" w15:restartNumberingAfterBreak="0">
    <w:nsid w:val="53011676"/>
    <w:multiLevelType w:val="multilevel"/>
    <w:tmpl w:val="DFFA3E04"/>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5"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59822754"/>
    <w:multiLevelType w:val="hybridMultilevel"/>
    <w:tmpl w:val="F87C5348"/>
    <w:lvl w:ilvl="0" w:tplc="DBEEE72E">
      <w:start w:val="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C0C7284"/>
    <w:multiLevelType w:val="multilevel"/>
    <w:tmpl w:val="112C024C"/>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8"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05210"/>
    <w:multiLevelType w:val="hybridMultilevel"/>
    <w:tmpl w:val="FB64E4A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170B56"/>
    <w:multiLevelType w:val="hybridMultilevel"/>
    <w:tmpl w:val="63DC82F8"/>
    <w:lvl w:ilvl="0" w:tplc="E9A26B8C">
      <w:numFmt w:val="bullet"/>
      <w:lvlText w:val=""/>
      <w:lvlJc w:val="left"/>
      <w:pPr>
        <w:ind w:left="408" w:hanging="360"/>
      </w:pPr>
      <w:rPr>
        <w:rFonts w:ascii="Wingdings" w:eastAsia="Calibri" w:hAnsi="Wingdings"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2" w15:restartNumberingAfterBreak="0">
    <w:nsid w:val="71150EB8"/>
    <w:multiLevelType w:val="hybridMultilevel"/>
    <w:tmpl w:val="A7526B30"/>
    <w:lvl w:ilvl="0" w:tplc="DBEEE72E">
      <w:start w:val="8"/>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1">
      <w:start w:val="1"/>
      <w:numFmt w:val="bullet"/>
      <w:lvlText w:val=""/>
      <w:lvlJc w:val="left"/>
      <w:pPr>
        <w:ind w:left="1680" w:hanging="420"/>
      </w:pPr>
      <w:rPr>
        <w:rFonts w:ascii="Symbol" w:hAnsi="Symbo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796B76"/>
    <w:multiLevelType w:val="hybridMultilevel"/>
    <w:tmpl w:val="9BF2FF7C"/>
    <w:lvl w:ilvl="0" w:tplc="2DD00ACC">
      <w:start w:val="1"/>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D1270E2"/>
    <w:multiLevelType w:val="multilevel"/>
    <w:tmpl w:val="7D1270E2"/>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BF4BF5"/>
    <w:multiLevelType w:val="hybridMultilevel"/>
    <w:tmpl w:val="5C06C334"/>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13"/>
  </w:num>
  <w:num w:numId="3">
    <w:abstractNumId w:val="39"/>
  </w:num>
  <w:num w:numId="4">
    <w:abstractNumId w:val="22"/>
  </w:num>
  <w:num w:numId="5">
    <w:abstractNumId w:val="28"/>
  </w:num>
  <w:num w:numId="6">
    <w:abstractNumId w:val="36"/>
  </w:num>
  <w:num w:numId="7">
    <w:abstractNumId w:val="35"/>
  </w:num>
  <w:num w:numId="8">
    <w:abstractNumId w:val="16"/>
  </w:num>
  <w:num w:numId="9">
    <w:abstractNumId w:val="37"/>
  </w:num>
  <w:num w:numId="10">
    <w:abstractNumId w:val="5"/>
  </w:num>
  <w:num w:numId="11">
    <w:abstractNumId w:val="0"/>
  </w:num>
  <w:num w:numId="12">
    <w:abstractNumId w:val="20"/>
  </w:num>
  <w:num w:numId="13">
    <w:abstractNumId w:val="11"/>
  </w:num>
  <w:num w:numId="14">
    <w:abstractNumId w:val="20"/>
  </w:num>
  <w:num w:numId="15">
    <w:abstractNumId w:val="11"/>
  </w:num>
  <w:num w:numId="16">
    <w:abstractNumId w:val="34"/>
  </w:num>
  <w:num w:numId="17">
    <w:abstractNumId w:val="2"/>
  </w:num>
  <w:num w:numId="18">
    <w:abstractNumId w:val="25"/>
  </w:num>
  <w:num w:numId="19">
    <w:abstractNumId w:val="6"/>
  </w:num>
  <w:num w:numId="20">
    <w:abstractNumId w:val="19"/>
  </w:num>
  <w:num w:numId="21">
    <w:abstractNumId w:val="3"/>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24"/>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4"/>
  </w:num>
  <w:num w:numId="31">
    <w:abstractNumId w:val="21"/>
  </w:num>
  <w:num w:numId="32">
    <w:abstractNumId w:val="29"/>
  </w:num>
  <w:num w:numId="33">
    <w:abstractNumId w:val="15"/>
  </w:num>
  <w:num w:numId="34">
    <w:abstractNumId w:val="14"/>
  </w:num>
  <w:num w:numId="35">
    <w:abstractNumId w:val="31"/>
  </w:num>
  <w:num w:numId="36">
    <w:abstractNumId w:val="9"/>
  </w:num>
  <w:num w:numId="37">
    <w:abstractNumId w:val="17"/>
  </w:num>
  <w:num w:numId="38">
    <w:abstractNumId w:val="38"/>
  </w:num>
  <w:num w:numId="39">
    <w:abstractNumId w:val="32"/>
  </w:num>
  <w:num w:numId="40">
    <w:abstractNumId w:val="30"/>
  </w:num>
  <w:num w:numId="41">
    <w:abstractNumId w:val="10"/>
  </w:num>
  <w:num w:numId="42">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01787"/>
    <w:rsid w:val="00001BC7"/>
    <w:rsid w:val="00002323"/>
    <w:rsid w:val="00002E8F"/>
    <w:rsid w:val="00003045"/>
    <w:rsid w:val="00013FDE"/>
    <w:rsid w:val="00020FDD"/>
    <w:rsid w:val="000226EE"/>
    <w:rsid w:val="00022E69"/>
    <w:rsid w:val="00026A0C"/>
    <w:rsid w:val="00027DE2"/>
    <w:rsid w:val="000374FB"/>
    <w:rsid w:val="000406A3"/>
    <w:rsid w:val="00056B30"/>
    <w:rsid w:val="00062938"/>
    <w:rsid w:val="000639A9"/>
    <w:rsid w:val="00064492"/>
    <w:rsid w:val="000658AA"/>
    <w:rsid w:val="000716AF"/>
    <w:rsid w:val="00071906"/>
    <w:rsid w:val="000740B8"/>
    <w:rsid w:val="00075039"/>
    <w:rsid w:val="00080629"/>
    <w:rsid w:val="00095835"/>
    <w:rsid w:val="000A11FA"/>
    <w:rsid w:val="000A1308"/>
    <w:rsid w:val="000B062C"/>
    <w:rsid w:val="000B59F8"/>
    <w:rsid w:val="000B7C5B"/>
    <w:rsid w:val="000B7FE5"/>
    <w:rsid w:val="000D6361"/>
    <w:rsid w:val="000E1986"/>
    <w:rsid w:val="000E309F"/>
    <w:rsid w:val="000E71C0"/>
    <w:rsid w:val="000F4059"/>
    <w:rsid w:val="000F5EAB"/>
    <w:rsid w:val="000F70D2"/>
    <w:rsid w:val="0010013A"/>
    <w:rsid w:val="00103FC0"/>
    <w:rsid w:val="00115751"/>
    <w:rsid w:val="00116146"/>
    <w:rsid w:val="001224E0"/>
    <w:rsid w:val="00124E9A"/>
    <w:rsid w:val="0012543C"/>
    <w:rsid w:val="00137CFD"/>
    <w:rsid w:val="00140C1F"/>
    <w:rsid w:val="00144530"/>
    <w:rsid w:val="00154A07"/>
    <w:rsid w:val="00156FC2"/>
    <w:rsid w:val="0016269A"/>
    <w:rsid w:val="00162A85"/>
    <w:rsid w:val="00171096"/>
    <w:rsid w:val="001721DB"/>
    <w:rsid w:val="001734B6"/>
    <w:rsid w:val="00182AA0"/>
    <w:rsid w:val="0018505B"/>
    <w:rsid w:val="001873BB"/>
    <w:rsid w:val="00187A80"/>
    <w:rsid w:val="00191EED"/>
    <w:rsid w:val="001931EF"/>
    <w:rsid w:val="001938AD"/>
    <w:rsid w:val="00193FE3"/>
    <w:rsid w:val="001B6532"/>
    <w:rsid w:val="001C1C6B"/>
    <w:rsid w:val="001C2F89"/>
    <w:rsid w:val="001C3269"/>
    <w:rsid w:val="001C7D79"/>
    <w:rsid w:val="001D243C"/>
    <w:rsid w:val="001E0D2E"/>
    <w:rsid w:val="001E22FB"/>
    <w:rsid w:val="001E2FF0"/>
    <w:rsid w:val="001E41F6"/>
    <w:rsid w:val="001F08C9"/>
    <w:rsid w:val="001F2667"/>
    <w:rsid w:val="001F2FD2"/>
    <w:rsid w:val="001F58DE"/>
    <w:rsid w:val="001F595B"/>
    <w:rsid w:val="00203A69"/>
    <w:rsid w:val="002044AE"/>
    <w:rsid w:val="00216DE6"/>
    <w:rsid w:val="002230D3"/>
    <w:rsid w:val="00223959"/>
    <w:rsid w:val="0023035B"/>
    <w:rsid w:val="002453DA"/>
    <w:rsid w:val="002454F5"/>
    <w:rsid w:val="00245DF1"/>
    <w:rsid w:val="00250321"/>
    <w:rsid w:val="00250687"/>
    <w:rsid w:val="0025315D"/>
    <w:rsid w:val="00276C66"/>
    <w:rsid w:val="0029421F"/>
    <w:rsid w:val="002A04B1"/>
    <w:rsid w:val="002A7091"/>
    <w:rsid w:val="002B0C5D"/>
    <w:rsid w:val="002B7ED4"/>
    <w:rsid w:val="002C243D"/>
    <w:rsid w:val="002C40CC"/>
    <w:rsid w:val="002D0309"/>
    <w:rsid w:val="002D07A4"/>
    <w:rsid w:val="002D0FEA"/>
    <w:rsid w:val="002D613C"/>
    <w:rsid w:val="002D7F8B"/>
    <w:rsid w:val="002E1038"/>
    <w:rsid w:val="002E1EFE"/>
    <w:rsid w:val="002E210A"/>
    <w:rsid w:val="002F0E43"/>
    <w:rsid w:val="002F4DE9"/>
    <w:rsid w:val="00333C86"/>
    <w:rsid w:val="00334FD0"/>
    <w:rsid w:val="00340E10"/>
    <w:rsid w:val="00353186"/>
    <w:rsid w:val="00355D9F"/>
    <w:rsid w:val="0036446B"/>
    <w:rsid w:val="00364EB0"/>
    <w:rsid w:val="003704DB"/>
    <w:rsid w:val="0037727E"/>
    <w:rsid w:val="0037789C"/>
    <w:rsid w:val="00382803"/>
    <w:rsid w:val="00383847"/>
    <w:rsid w:val="0038791C"/>
    <w:rsid w:val="00387987"/>
    <w:rsid w:val="003921F0"/>
    <w:rsid w:val="003928ED"/>
    <w:rsid w:val="00394A87"/>
    <w:rsid w:val="003D197B"/>
    <w:rsid w:val="003D3A8B"/>
    <w:rsid w:val="003D4B96"/>
    <w:rsid w:val="003D5584"/>
    <w:rsid w:val="003E599B"/>
    <w:rsid w:val="003F3FD9"/>
    <w:rsid w:val="00403AFC"/>
    <w:rsid w:val="00416B6D"/>
    <w:rsid w:val="00427987"/>
    <w:rsid w:val="004355D6"/>
    <w:rsid w:val="00443E13"/>
    <w:rsid w:val="00447E17"/>
    <w:rsid w:val="00457A29"/>
    <w:rsid w:val="00460858"/>
    <w:rsid w:val="00461ED7"/>
    <w:rsid w:val="00463A3D"/>
    <w:rsid w:val="0046481D"/>
    <w:rsid w:val="004648DA"/>
    <w:rsid w:val="00467CB6"/>
    <w:rsid w:val="00471B56"/>
    <w:rsid w:val="004759FC"/>
    <w:rsid w:val="00476674"/>
    <w:rsid w:val="0049442F"/>
    <w:rsid w:val="004A08D2"/>
    <w:rsid w:val="004A4F47"/>
    <w:rsid w:val="004A4F80"/>
    <w:rsid w:val="004B40D6"/>
    <w:rsid w:val="004C3EBD"/>
    <w:rsid w:val="004D6748"/>
    <w:rsid w:val="004E338D"/>
    <w:rsid w:val="004E4598"/>
    <w:rsid w:val="004E6B79"/>
    <w:rsid w:val="004F095A"/>
    <w:rsid w:val="004F16CC"/>
    <w:rsid w:val="00502A45"/>
    <w:rsid w:val="0050306C"/>
    <w:rsid w:val="0050352D"/>
    <w:rsid w:val="00506C61"/>
    <w:rsid w:val="00510931"/>
    <w:rsid w:val="00516406"/>
    <w:rsid w:val="00517FA0"/>
    <w:rsid w:val="00524487"/>
    <w:rsid w:val="00527D79"/>
    <w:rsid w:val="0053006D"/>
    <w:rsid w:val="00532C42"/>
    <w:rsid w:val="00533EC1"/>
    <w:rsid w:val="00535D1F"/>
    <w:rsid w:val="005370C6"/>
    <w:rsid w:val="00542A09"/>
    <w:rsid w:val="00552A72"/>
    <w:rsid w:val="00552F9D"/>
    <w:rsid w:val="00562A63"/>
    <w:rsid w:val="00562AFA"/>
    <w:rsid w:val="00564E1B"/>
    <w:rsid w:val="00566AD2"/>
    <w:rsid w:val="00570F6E"/>
    <w:rsid w:val="005766C7"/>
    <w:rsid w:val="00576E7E"/>
    <w:rsid w:val="00583393"/>
    <w:rsid w:val="0058741D"/>
    <w:rsid w:val="00591BC4"/>
    <w:rsid w:val="00597495"/>
    <w:rsid w:val="005B42B0"/>
    <w:rsid w:val="005B4331"/>
    <w:rsid w:val="005C14D7"/>
    <w:rsid w:val="005C1B2D"/>
    <w:rsid w:val="005C3A74"/>
    <w:rsid w:val="005D6AD2"/>
    <w:rsid w:val="005E52EE"/>
    <w:rsid w:val="005E55F2"/>
    <w:rsid w:val="005F1418"/>
    <w:rsid w:val="005F5097"/>
    <w:rsid w:val="0060793E"/>
    <w:rsid w:val="00615CE1"/>
    <w:rsid w:val="00617E21"/>
    <w:rsid w:val="00620326"/>
    <w:rsid w:val="0062062C"/>
    <w:rsid w:val="00621307"/>
    <w:rsid w:val="00624BBC"/>
    <w:rsid w:val="00626CF0"/>
    <w:rsid w:val="006308B8"/>
    <w:rsid w:val="006313E4"/>
    <w:rsid w:val="00632133"/>
    <w:rsid w:val="00632857"/>
    <w:rsid w:val="00633A50"/>
    <w:rsid w:val="0063529B"/>
    <w:rsid w:val="00654A9E"/>
    <w:rsid w:val="00655C13"/>
    <w:rsid w:val="0066201A"/>
    <w:rsid w:val="0066418A"/>
    <w:rsid w:val="006732D8"/>
    <w:rsid w:val="0069011F"/>
    <w:rsid w:val="00696B3F"/>
    <w:rsid w:val="00697E29"/>
    <w:rsid w:val="006B2B74"/>
    <w:rsid w:val="006B35D2"/>
    <w:rsid w:val="006C170D"/>
    <w:rsid w:val="006C3751"/>
    <w:rsid w:val="006C40E6"/>
    <w:rsid w:val="006C501A"/>
    <w:rsid w:val="006C61CE"/>
    <w:rsid w:val="006C70B2"/>
    <w:rsid w:val="006D3C78"/>
    <w:rsid w:val="006E5511"/>
    <w:rsid w:val="006F2345"/>
    <w:rsid w:val="00702FE6"/>
    <w:rsid w:val="00704D67"/>
    <w:rsid w:val="00711A6E"/>
    <w:rsid w:val="0071232D"/>
    <w:rsid w:val="0072094A"/>
    <w:rsid w:val="00735219"/>
    <w:rsid w:val="00741CC7"/>
    <w:rsid w:val="00750155"/>
    <w:rsid w:val="00757381"/>
    <w:rsid w:val="00757BC3"/>
    <w:rsid w:val="00764A97"/>
    <w:rsid w:val="00770345"/>
    <w:rsid w:val="0077304F"/>
    <w:rsid w:val="00773712"/>
    <w:rsid w:val="007744A9"/>
    <w:rsid w:val="00775005"/>
    <w:rsid w:val="00781F52"/>
    <w:rsid w:val="00784BC9"/>
    <w:rsid w:val="007A133A"/>
    <w:rsid w:val="007A2722"/>
    <w:rsid w:val="007B1DFB"/>
    <w:rsid w:val="007B207F"/>
    <w:rsid w:val="007B41E7"/>
    <w:rsid w:val="007B4345"/>
    <w:rsid w:val="007C0FAC"/>
    <w:rsid w:val="007C1459"/>
    <w:rsid w:val="007C1B2D"/>
    <w:rsid w:val="007D1DA8"/>
    <w:rsid w:val="007D5A2F"/>
    <w:rsid w:val="007D7918"/>
    <w:rsid w:val="007E3A74"/>
    <w:rsid w:val="007F2B77"/>
    <w:rsid w:val="007F2CE8"/>
    <w:rsid w:val="008017D8"/>
    <w:rsid w:val="0080333A"/>
    <w:rsid w:val="00805A5C"/>
    <w:rsid w:val="0080710F"/>
    <w:rsid w:val="0080756F"/>
    <w:rsid w:val="00811852"/>
    <w:rsid w:val="008149BD"/>
    <w:rsid w:val="0081568D"/>
    <w:rsid w:val="00831E3D"/>
    <w:rsid w:val="00832F12"/>
    <w:rsid w:val="00833D23"/>
    <w:rsid w:val="00840DA0"/>
    <w:rsid w:val="00844897"/>
    <w:rsid w:val="00852DB8"/>
    <w:rsid w:val="00853742"/>
    <w:rsid w:val="00853F8F"/>
    <w:rsid w:val="0085670B"/>
    <w:rsid w:val="00867742"/>
    <w:rsid w:val="00872C28"/>
    <w:rsid w:val="00880126"/>
    <w:rsid w:val="00881388"/>
    <w:rsid w:val="00881494"/>
    <w:rsid w:val="0088215A"/>
    <w:rsid w:val="00882E64"/>
    <w:rsid w:val="00883384"/>
    <w:rsid w:val="00884208"/>
    <w:rsid w:val="00884C7C"/>
    <w:rsid w:val="008851BA"/>
    <w:rsid w:val="00885B0B"/>
    <w:rsid w:val="00894ECB"/>
    <w:rsid w:val="008A0E61"/>
    <w:rsid w:val="008A17BF"/>
    <w:rsid w:val="008A5091"/>
    <w:rsid w:val="008A7DED"/>
    <w:rsid w:val="008B3F75"/>
    <w:rsid w:val="008B5B79"/>
    <w:rsid w:val="008B7866"/>
    <w:rsid w:val="008B7A3A"/>
    <w:rsid w:val="008C08A7"/>
    <w:rsid w:val="008D0E73"/>
    <w:rsid w:val="008D45C0"/>
    <w:rsid w:val="008D4FBD"/>
    <w:rsid w:val="008E2A67"/>
    <w:rsid w:val="008E50F4"/>
    <w:rsid w:val="008F2DA0"/>
    <w:rsid w:val="00904EA1"/>
    <w:rsid w:val="00905A0C"/>
    <w:rsid w:val="009116F1"/>
    <w:rsid w:val="00911724"/>
    <w:rsid w:val="00913F11"/>
    <w:rsid w:val="0092194B"/>
    <w:rsid w:val="00921E95"/>
    <w:rsid w:val="00923FEF"/>
    <w:rsid w:val="009310C1"/>
    <w:rsid w:val="009326A3"/>
    <w:rsid w:val="00942548"/>
    <w:rsid w:val="009512B7"/>
    <w:rsid w:val="009549A7"/>
    <w:rsid w:val="00960C16"/>
    <w:rsid w:val="009676EF"/>
    <w:rsid w:val="009746CF"/>
    <w:rsid w:val="0098544A"/>
    <w:rsid w:val="0098605C"/>
    <w:rsid w:val="00986839"/>
    <w:rsid w:val="009A6436"/>
    <w:rsid w:val="009A73DB"/>
    <w:rsid w:val="009B09E5"/>
    <w:rsid w:val="009C2147"/>
    <w:rsid w:val="009C75CB"/>
    <w:rsid w:val="009D1509"/>
    <w:rsid w:val="009E03E4"/>
    <w:rsid w:val="009E31A4"/>
    <w:rsid w:val="009E5FEE"/>
    <w:rsid w:val="009F7A16"/>
    <w:rsid w:val="00A04774"/>
    <w:rsid w:val="00A135D6"/>
    <w:rsid w:val="00A143EC"/>
    <w:rsid w:val="00A1628D"/>
    <w:rsid w:val="00A16814"/>
    <w:rsid w:val="00A2282F"/>
    <w:rsid w:val="00A36CAB"/>
    <w:rsid w:val="00A45137"/>
    <w:rsid w:val="00A46680"/>
    <w:rsid w:val="00A5135D"/>
    <w:rsid w:val="00A61425"/>
    <w:rsid w:val="00A625FC"/>
    <w:rsid w:val="00A63619"/>
    <w:rsid w:val="00A703FD"/>
    <w:rsid w:val="00A70B6C"/>
    <w:rsid w:val="00A756EA"/>
    <w:rsid w:val="00A77984"/>
    <w:rsid w:val="00A81997"/>
    <w:rsid w:val="00A84ED9"/>
    <w:rsid w:val="00AA37A9"/>
    <w:rsid w:val="00AA464A"/>
    <w:rsid w:val="00AA59F7"/>
    <w:rsid w:val="00AA7B40"/>
    <w:rsid w:val="00AB2105"/>
    <w:rsid w:val="00AB3ECA"/>
    <w:rsid w:val="00AB6D70"/>
    <w:rsid w:val="00AC0590"/>
    <w:rsid w:val="00AC08D9"/>
    <w:rsid w:val="00AC2F93"/>
    <w:rsid w:val="00AC78EA"/>
    <w:rsid w:val="00AE3D05"/>
    <w:rsid w:val="00AF0EC9"/>
    <w:rsid w:val="00AF2856"/>
    <w:rsid w:val="00AF6035"/>
    <w:rsid w:val="00AF61B8"/>
    <w:rsid w:val="00B1000E"/>
    <w:rsid w:val="00B11DCD"/>
    <w:rsid w:val="00B144B1"/>
    <w:rsid w:val="00B20A3D"/>
    <w:rsid w:val="00B24C81"/>
    <w:rsid w:val="00B365CF"/>
    <w:rsid w:val="00B45CF7"/>
    <w:rsid w:val="00B50C4E"/>
    <w:rsid w:val="00B61817"/>
    <w:rsid w:val="00B619DA"/>
    <w:rsid w:val="00B61D6D"/>
    <w:rsid w:val="00B64DF9"/>
    <w:rsid w:val="00B67C2C"/>
    <w:rsid w:val="00B70EE7"/>
    <w:rsid w:val="00B7587D"/>
    <w:rsid w:val="00B80751"/>
    <w:rsid w:val="00B8243B"/>
    <w:rsid w:val="00B9058B"/>
    <w:rsid w:val="00B918F7"/>
    <w:rsid w:val="00B96BB7"/>
    <w:rsid w:val="00BA04EF"/>
    <w:rsid w:val="00BA5612"/>
    <w:rsid w:val="00BA67EA"/>
    <w:rsid w:val="00BA7691"/>
    <w:rsid w:val="00BB4AD8"/>
    <w:rsid w:val="00BC04C3"/>
    <w:rsid w:val="00BC23CC"/>
    <w:rsid w:val="00BC2AFB"/>
    <w:rsid w:val="00BC6689"/>
    <w:rsid w:val="00BD2186"/>
    <w:rsid w:val="00BD54C4"/>
    <w:rsid w:val="00BE534D"/>
    <w:rsid w:val="00BF30E9"/>
    <w:rsid w:val="00BF60CD"/>
    <w:rsid w:val="00C0090F"/>
    <w:rsid w:val="00C01FF2"/>
    <w:rsid w:val="00C03BAC"/>
    <w:rsid w:val="00C04C38"/>
    <w:rsid w:val="00C07605"/>
    <w:rsid w:val="00C10A8B"/>
    <w:rsid w:val="00C113ED"/>
    <w:rsid w:val="00C1173D"/>
    <w:rsid w:val="00C138F3"/>
    <w:rsid w:val="00C210AC"/>
    <w:rsid w:val="00C257EF"/>
    <w:rsid w:val="00C36351"/>
    <w:rsid w:val="00C405F5"/>
    <w:rsid w:val="00C42E70"/>
    <w:rsid w:val="00C46A73"/>
    <w:rsid w:val="00C4749E"/>
    <w:rsid w:val="00C47A37"/>
    <w:rsid w:val="00C61F88"/>
    <w:rsid w:val="00C62788"/>
    <w:rsid w:val="00C62AE5"/>
    <w:rsid w:val="00C65CE6"/>
    <w:rsid w:val="00C672F9"/>
    <w:rsid w:val="00C721C1"/>
    <w:rsid w:val="00C7355C"/>
    <w:rsid w:val="00C74EE0"/>
    <w:rsid w:val="00C7611C"/>
    <w:rsid w:val="00C822A9"/>
    <w:rsid w:val="00C8399A"/>
    <w:rsid w:val="00C87B9E"/>
    <w:rsid w:val="00CA05B4"/>
    <w:rsid w:val="00CA29CE"/>
    <w:rsid w:val="00CB220D"/>
    <w:rsid w:val="00CB2AB4"/>
    <w:rsid w:val="00CB3A45"/>
    <w:rsid w:val="00CB520A"/>
    <w:rsid w:val="00CB5566"/>
    <w:rsid w:val="00CC53B3"/>
    <w:rsid w:val="00CD2EC8"/>
    <w:rsid w:val="00CD5680"/>
    <w:rsid w:val="00CD5855"/>
    <w:rsid w:val="00CD5D8F"/>
    <w:rsid w:val="00CF486D"/>
    <w:rsid w:val="00CF6307"/>
    <w:rsid w:val="00D0149E"/>
    <w:rsid w:val="00D07329"/>
    <w:rsid w:val="00D07EFE"/>
    <w:rsid w:val="00D12F26"/>
    <w:rsid w:val="00D1536C"/>
    <w:rsid w:val="00D165EE"/>
    <w:rsid w:val="00D1727C"/>
    <w:rsid w:val="00D30F2E"/>
    <w:rsid w:val="00D314F9"/>
    <w:rsid w:val="00D345FF"/>
    <w:rsid w:val="00D356AE"/>
    <w:rsid w:val="00D414DC"/>
    <w:rsid w:val="00D4401A"/>
    <w:rsid w:val="00D452C3"/>
    <w:rsid w:val="00D45B38"/>
    <w:rsid w:val="00D472C8"/>
    <w:rsid w:val="00D533F7"/>
    <w:rsid w:val="00D63006"/>
    <w:rsid w:val="00D630B4"/>
    <w:rsid w:val="00D74429"/>
    <w:rsid w:val="00D745A5"/>
    <w:rsid w:val="00D87493"/>
    <w:rsid w:val="00DA01DE"/>
    <w:rsid w:val="00DA0838"/>
    <w:rsid w:val="00DA0FF8"/>
    <w:rsid w:val="00DA3D3A"/>
    <w:rsid w:val="00DA5604"/>
    <w:rsid w:val="00DB37EC"/>
    <w:rsid w:val="00DB3D42"/>
    <w:rsid w:val="00DC0964"/>
    <w:rsid w:val="00DC4A0F"/>
    <w:rsid w:val="00DD07AB"/>
    <w:rsid w:val="00DD4597"/>
    <w:rsid w:val="00DD49B2"/>
    <w:rsid w:val="00DD5876"/>
    <w:rsid w:val="00DE2561"/>
    <w:rsid w:val="00DF143E"/>
    <w:rsid w:val="00DF2F83"/>
    <w:rsid w:val="00DF3B55"/>
    <w:rsid w:val="00E01761"/>
    <w:rsid w:val="00E10EE5"/>
    <w:rsid w:val="00E13B5F"/>
    <w:rsid w:val="00E21802"/>
    <w:rsid w:val="00E21AB2"/>
    <w:rsid w:val="00E24E60"/>
    <w:rsid w:val="00E25D0F"/>
    <w:rsid w:val="00E275A0"/>
    <w:rsid w:val="00E32DB8"/>
    <w:rsid w:val="00E400E9"/>
    <w:rsid w:val="00E4079C"/>
    <w:rsid w:val="00E44017"/>
    <w:rsid w:val="00E455E3"/>
    <w:rsid w:val="00E538F6"/>
    <w:rsid w:val="00E54A06"/>
    <w:rsid w:val="00E554F6"/>
    <w:rsid w:val="00E56134"/>
    <w:rsid w:val="00E65AB9"/>
    <w:rsid w:val="00E74E2E"/>
    <w:rsid w:val="00E7721F"/>
    <w:rsid w:val="00E81B9C"/>
    <w:rsid w:val="00E83E3E"/>
    <w:rsid w:val="00E91078"/>
    <w:rsid w:val="00E92C6A"/>
    <w:rsid w:val="00E951AB"/>
    <w:rsid w:val="00EA6189"/>
    <w:rsid w:val="00EC0528"/>
    <w:rsid w:val="00EC1A50"/>
    <w:rsid w:val="00EC341A"/>
    <w:rsid w:val="00EC341F"/>
    <w:rsid w:val="00EC5E47"/>
    <w:rsid w:val="00ED09CE"/>
    <w:rsid w:val="00ED4243"/>
    <w:rsid w:val="00ED7224"/>
    <w:rsid w:val="00EE0FFD"/>
    <w:rsid w:val="00EE1931"/>
    <w:rsid w:val="00EF0B8A"/>
    <w:rsid w:val="00F009E9"/>
    <w:rsid w:val="00F011DD"/>
    <w:rsid w:val="00F03921"/>
    <w:rsid w:val="00F03AD1"/>
    <w:rsid w:val="00F06B62"/>
    <w:rsid w:val="00F21189"/>
    <w:rsid w:val="00F23569"/>
    <w:rsid w:val="00F2616E"/>
    <w:rsid w:val="00F30AD0"/>
    <w:rsid w:val="00F4128A"/>
    <w:rsid w:val="00F44A9A"/>
    <w:rsid w:val="00F57B61"/>
    <w:rsid w:val="00F6164C"/>
    <w:rsid w:val="00F67CA2"/>
    <w:rsid w:val="00F73BC8"/>
    <w:rsid w:val="00F75311"/>
    <w:rsid w:val="00F84C85"/>
    <w:rsid w:val="00FA201D"/>
    <w:rsid w:val="00FA2AB5"/>
    <w:rsid w:val="00FA4EB4"/>
    <w:rsid w:val="00FA5E95"/>
    <w:rsid w:val="00FB2F05"/>
    <w:rsid w:val="00FC17B9"/>
    <w:rsid w:val="00FC3604"/>
    <w:rsid w:val="00FC3F70"/>
    <w:rsid w:val="00FC56C0"/>
    <w:rsid w:val="00FD356C"/>
    <w:rsid w:val="00FD4135"/>
    <w:rsid w:val="00FD59A1"/>
    <w:rsid w:val="00FD6704"/>
    <w:rsid w:val="00FD67C9"/>
    <w:rsid w:val="00FE0306"/>
    <w:rsid w:val="00FE4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1E498FF1-0AE9-4235-86A7-7C110CD43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numId w:val="0"/>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rsid w:val="00FC3F70"/>
    <w:rPr>
      <w:rFonts w:asciiTheme="majorHAnsi" w:eastAsiaTheme="majorEastAsia" w:hAnsiTheme="majorHAnsi" w:cstheme="majorBidi"/>
      <w:b/>
      <w:bCs/>
      <w:sz w:val="32"/>
      <w:szCs w:val="32"/>
    </w:rPr>
  </w:style>
  <w:style w:type="character" w:customStyle="1" w:styleId="3Char">
    <w:name w:val="标题 3 Char"/>
    <w:basedOn w:val="a0"/>
    <w:link w:val="3"/>
    <w:rsid w:val="001E0D2E"/>
    <w:rPr>
      <w:b/>
      <w:bCs/>
      <w:sz w:val="32"/>
      <w:szCs w:val="32"/>
    </w:rPr>
  </w:style>
  <w:style w:type="character" w:customStyle="1" w:styleId="4Char">
    <w:name w:val="标题 4 Char"/>
    <w:basedOn w:val="a0"/>
    <w:link w:val="4"/>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uiPriority w:val="99"/>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uiPriority w:val="99"/>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nhideWhenUsed/>
    <w:rsid w:val="001E0D2E"/>
    <w:pPr>
      <w:ind w:left="200" w:hangingChars="200" w:hanging="200"/>
      <w:contextualSpacing/>
    </w:pPr>
  </w:style>
  <w:style w:type="paragraph" w:styleId="a9">
    <w:name w:val="Balloon Text"/>
    <w:basedOn w:val="a"/>
    <w:link w:val="Char3"/>
    <w:uiPriority w:val="99"/>
    <w:unhideWhenUsed/>
    <w:rsid w:val="00BB4AD8"/>
    <w:rPr>
      <w:sz w:val="18"/>
      <w:szCs w:val="18"/>
    </w:rPr>
  </w:style>
  <w:style w:type="character" w:customStyle="1" w:styleId="Char3">
    <w:name w:val="批注框文本 Char"/>
    <w:basedOn w:val="a0"/>
    <w:link w:val="a9"/>
    <w:uiPriority w:val="99"/>
    <w:rsid w:val="00BB4AD8"/>
    <w:rPr>
      <w:sz w:val="18"/>
      <w:szCs w:val="18"/>
    </w:rPr>
  </w:style>
  <w:style w:type="paragraph" w:styleId="aa">
    <w:name w:val="Revision"/>
    <w:hidden/>
    <w:uiPriority w:val="99"/>
    <w:semiHidden/>
    <w:rsid w:val="00C672F9"/>
  </w:style>
  <w:style w:type="character" w:styleId="ab">
    <w:name w:val="annotation reference"/>
    <w:basedOn w:val="a0"/>
    <w:unhideWhenUsed/>
    <w:rsid w:val="00502A45"/>
    <w:rPr>
      <w:sz w:val="21"/>
      <w:szCs w:val="21"/>
    </w:rPr>
  </w:style>
  <w:style w:type="paragraph" w:styleId="ac">
    <w:name w:val="annotation text"/>
    <w:basedOn w:val="a"/>
    <w:link w:val="Char4"/>
    <w:uiPriority w:val="99"/>
    <w:unhideWhenUsed/>
    <w:rsid w:val="00502A45"/>
    <w:pPr>
      <w:jc w:val="left"/>
    </w:pPr>
  </w:style>
  <w:style w:type="character" w:customStyle="1" w:styleId="Char4">
    <w:name w:val="批注文字 Char"/>
    <w:basedOn w:val="a0"/>
    <w:link w:val="ac"/>
    <w:uiPriority w:val="99"/>
    <w:rsid w:val="00502A45"/>
  </w:style>
  <w:style w:type="paragraph" w:styleId="ad">
    <w:name w:val="annotation subject"/>
    <w:basedOn w:val="ac"/>
    <w:next w:val="ac"/>
    <w:link w:val="Char5"/>
    <w:unhideWhenUsed/>
    <w:rsid w:val="00502A45"/>
    <w:rPr>
      <w:b/>
      <w:bCs/>
    </w:rPr>
  </w:style>
  <w:style w:type="character" w:customStyle="1" w:styleId="Char5">
    <w:name w:val="批注主题 Char"/>
    <w:basedOn w:val="Char4"/>
    <w:link w:val="ad"/>
    <w:rsid w:val="00502A45"/>
    <w:rPr>
      <w:b/>
      <w:bCs/>
    </w:rPr>
  </w:style>
  <w:style w:type="paragraph" w:customStyle="1" w:styleId="Guidance">
    <w:name w:val="Guidance"/>
    <w:basedOn w:val="a"/>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5Char">
    <w:name w:val="标题 5 Char"/>
    <w:basedOn w:val="a0"/>
    <w:link w:val="5"/>
    <w:rsid w:val="00A04774"/>
    <w:rPr>
      <w:rFonts w:ascii="Arial" w:hAnsi="Arial" w:cs="Times New Roman"/>
      <w:kern w:val="0"/>
      <w:sz w:val="22"/>
      <w:szCs w:val="20"/>
      <w:lang w:val="en-GB" w:eastAsia="ja-JP"/>
    </w:rPr>
  </w:style>
  <w:style w:type="paragraph" w:customStyle="1" w:styleId="H6">
    <w:name w:val="H6"/>
    <w:basedOn w:val="5"/>
    <w:next w:val="a"/>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90">
    <w:name w:val="toc 9"/>
    <w:basedOn w:val="80"/>
    <w:uiPriority w:val="39"/>
    <w:rsid w:val="00A04774"/>
    <w:pPr>
      <w:ind w:left="1418" w:hanging="1418"/>
    </w:pPr>
  </w:style>
  <w:style w:type="paragraph" w:styleId="80">
    <w:name w:val="toc 8"/>
    <w:basedOn w:val="10"/>
    <w:uiPriority w:val="39"/>
    <w:rsid w:val="00A04774"/>
    <w:pPr>
      <w:spacing w:before="180"/>
      <w:ind w:left="2693" w:hanging="2693"/>
    </w:pPr>
    <w:rPr>
      <w:b/>
    </w:rPr>
  </w:style>
  <w:style w:type="paragraph" w:styleId="10">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a"/>
    <w:next w:val="a"/>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50">
    <w:name w:val="toc 5"/>
    <w:basedOn w:val="40"/>
    <w:uiPriority w:val="39"/>
    <w:rsid w:val="00A04774"/>
    <w:pPr>
      <w:ind w:left="1701" w:hanging="1701"/>
    </w:pPr>
  </w:style>
  <w:style w:type="paragraph" w:styleId="40">
    <w:name w:val="toc 4"/>
    <w:basedOn w:val="30"/>
    <w:uiPriority w:val="39"/>
    <w:rsid w:val="00A04774"/>
    <w:pPr>
      <w:ind w:left="1418" w:hanging="1418"/>
    </w:pPr>
  </w:style>
  <w:style w:type="paragraph" w:styleId="30">
    <w:name w:val="toc 3"/>
    <w:basedOn w:val="20"/>
    <w:uiPriority w:val="39"/>
    <w:rsid w:val="00A04774"/>
    <w:pPr>
      <w:ind w:left="1134" w:hanging="1134"/>
    </w:pPr>
  </w:style>
  <w:style w:type="paragraph" w:styleId="20">
    <w:name w:val="toc 2"/>
    <w:basedOn w:val="10"/>
    <w:uiPriority w:val="39"/>
    <w:rsid w:val="00A04774"/>
    <w:pPr>
      <w:keepNext w:val="0"/>
      <w:spacing w:before="0"/>
      <w:ind w:left="851" w:hanging="851"/>
    </w:pPr>
    <w:rPr>
      <w:sz w:val="20"/>
    </w:rPr>
  </w:style>
  <w:style w:type="paragraph" w:customStyle="1" w:styleId="TT">
    <w:name w:val="TT"/>
    <w:basedOn w:val="1"/>
    <w:next w:val="a"/>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a"/>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a"/>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60">
    <w:name w:val="toc 6"/>
    <w:basedOn w:val="50"/>
    <w:next w:val="a"/>
    <w:uiPriority w:val="39"/>
    <w:rsid w:val="00A04774"/>
    <w:pPr>
      <w:ind w:left="1985" w:hanging="1985"/>
    </w:pPr>
  </w:style>
  <w:style w:type="paragraph" w:styleId="70">
    <w:name w:val="toc 7"/>
    <w:basedOn w:val="60"/>
    <w:next w:val="a"/>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a0"/>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a"/>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a"/>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a"/>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a"/>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ae">
    <w:name w:val="Hyperlink"/>
    <w:basedOn w:val="a0"/>
    <w:rsid w:val="00A04774"/>
    <w:rPr>
      <w:color w:val="0563C1" w:themeColor="hyperlink"/>
      <w:u w:val="single"/>
    </w:rPr>
  </w:style>
  <w:style w:type="character" w:customStyle="1" w:styleId="UnresolvedMention">
    <w:name w:val="Unresolved Mention"/>
    <w:basedOn w:val="a0"/>
    <w:uiPriority w:val="99"/>
    <w:semiHidden/>
    <w:unhideWhenUsed/>
    <w:rsid w:val="00A04774"/>
    <w:rPr>
      <w:color w:val="605E5C"/>
      <w:shd w:val="clear" w:color="auto" w:fill="E1DFDD"/>
    </w:rPr>
  </w:style>
  <w:style w:type="character" w:styleId="af">
    <w:name w:val="FollowedHyperlink"/>
    <w:basedOn w:val="a0"/>
    <w:rsid w:val="00A04774"/>
    <w:rPr>
      <w:color w:val="954F72" w:themeColor="followedHyperlink"/>
      <w:u w:val="single"/>
    </w:rPr>
  </w:style>
  <w:style w:type="paragraph" w:styleId="af0">
    <w:name w:val="Document Map"/>
    <w:basedOn w:val="a"/>
    <w:link w:val="Char6"/>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Char6">
    <w:name w:val="文档结构图 Char"/>
    <w:basedOn w:val="a0"/>
    <w:link w:val="af0"/>
    <w:uiPriority w:val="99"/>
    <w:rsid w:val="00A04774"/>
    <w:rPr>
      <w:rFonts w:ascii="宋体" w:eastAsia="宋体" w:hAnsi="Times New Roman" w:cs="Times New Roman"/>
      <w:color w:val="000000"/>
      <w:kern w:val="0"/>
      <w:sz w:val="18"/>
      <w:szCs w:val="18"/>
      <w:lang w:val="en-GB" w:eastAsia="ja-JP"/>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7"/>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2"/>
    <w:rsid w:val="00A04774"/>
    <w:rPr>
      <w:rFonts w:ascii="Times New Roman" w:eastAsia="MS Mincho" w:hAnsi="Times New Roman" w:cs="Times New Roman"/>
      <w:color w:val="000000"/>
      <w:kern w:val="0"/>
      <w:sz w:val="16"/>
      <w:szCs w:val="20"/>
      <w:lang w:val="en-GB" w:eastAsia="ja-JP"/>
    </w:rPr>
  </w:style>
  <w:style w:type="paragraph" w:styleId="21">
    <w:name w:val="index 2"/>
    <w:basedOn w:val="11"/>
    <w:rsid w:val="00A04774"/>
    <w:pPr>
      <w:ind w:left="284"/>
    </w:pPr>
  </w:style>
  <w:style w:type="paragraph" w:styleId="11">
    <w:name w:val="index 1"/>
    <w:basedOn w:val="a"/>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af3">
    <w:name w:val="List Number"/>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f4">
    <w:name w:val="List Bullet"/>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af5">
    <w:name w:val="page number"/>
    <w:rsid w:val="00A04774"/>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04774"/>
    <w:rPr>
      <w:rFonts w:ascii="Cambria" w:eastAsia="黑体" w:hAnsi="Cambria" w:cs="Times New Roman"/>
      <w:color w:val="000000"/>
      <w:kern w:val="0"/>
      <w:sz w:val="20"/>
      <w:szCs w:val="20"/>
      <w:lang w:val="en-GB" w:eastAsia="ja-JP"/>
    </w:rPr>
  </w:style>
  <w:style w:type="character" w:styleId="af7">
    <w:name w:val="Emphasis"/>
    <w:uiPriority w:val="20"/>
    <w:qFormat/>
    <w:rsid w:val="00A04774"/>
    <w:rPr>
      <w:i/>
      <w:iCs/>
    </w:rPr>
  </w:style>
  <w:style w:type="character" w:styleId="af8">
    <w:name w:val="Intense Emphasis"/>
    <w:uiPriority w:val="21"/>
    <w:qFormat/>
    <w:rsid w:val="00A04774"/>
    <w:rPr>
      <w:b/>
      <w:bCs/>
      <w:i/>
      <w:iCs/>
      <w:color w:val="4F81BD"/>
    </w:rPr>
  </w:style>
  <w:style w:type="paragraph" w:styleId="af9">
    <w:name w:val="Plain Text"/>
    <w:basedOn w:val="a"/>
    <w:link w:val="Char9"/>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Char9">
    <w:name w:val="纯文本 Char"/>
    <w:basedOn w:val="a0"/>
    <w:link w:val="af9"/>
    <w:rsid w:val="00A04774"/>
    <w:rPr>
      <w:rFonts w:ascii="Courier New" w:hAnsi="Courier New" w:cs="Times New Roman"/>
      <w:color w:val="000000"/>
      <w:kern w:val="0"/>
      <w:sz w:val="20"/>
      <w:szCs w:val="20"/>
      <w:lang w:val="nb-NO" w:eastAsia="x-none"/>
    </w:rPr>
  </w:style>
  <w:style w:type="character" w:styleId="afa">
    <w:name w:val="Strong"/>
    <w:uiPriority w:val="22"/>
    <w:qFormat/>
    <w:rsid w:val="00A04774"/>
    <w:rPr>
      <w:b/>
      <w:bCs/>
    </w:rPr>
  </w:style>
  <w:style w:type="character" w:styleId="HTML">
    <w:name w:val="HTML Typewriter"/>
    <w:rsid w:val="00A04774"/>
    <w:rPr>
      <w:rFonts w:ascii="Courier New" w:eastAsia="Times New Roman" w:hAnsi="Courier New" w:cs="Courier New"/>
      <w:sz w:val="20"/>
      <w:szCs w:val="20"/>
    </w:rPr>
  </w:style>
  <w:style w:type="paragraph" w:customStyle="1" w:styleId="tal0">
    <w:name w:val="tal"/>
    <w:basedOn w:val="a"/>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fb">
    <w:name w:val="수정"/>
    <w:hidden/>
    <w:semiHidden/>
    <w:rsid w:val="00A04774"/>
    <w:rPr>
      <w:rFonts w:ascii="Times New Roman" w:eastAsia="Batang" w:hAnsi="Times New Roman" w:cs="Times New Roman"/>
      <w:kern w:val="0"/>
      <w:sz w:val="20"/>
      <w:szCs w:val="20"/>
      <w:lang w:val="en-GB" w:eastAsia="en-US"/>
    </w:rPr>
  </w:style>
  <w:style w:type="paragraph" w:customStyle="1" w:styleId="12">
    <w:name w:val="修订1"/>
    <w:hidden/>
    <w:semiHidden/>
    <w:rsid w:val="00A04774"/>
    <w:rPr>
      <w:rFonts w:ascii="Times New Roman" w:eastAsia="Batang" w:hAnsi="Times New Roman" w:cs="Times New Roman"/>
      <w:kern w:val="0"/>
      <w:sz w:val="20"/>
      <w:szCs w:val="20"/>
      <w:lang w:val="en-GB" w:eastAsia="en-US"/>
    </w:rPr>
  </w:style>
  <w:style w:type="paragraph" w:styleId="afc">
    <w:name w:val="endnote text"/>
    <w:basedOn w:val="a"/>
    <w:link w:val="Chara"/>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Chara">
    <w:name w:val="尾注文本 Char"/>
    <w:basedOn w:val="a0"/>
    <w:link w:val="afc"/>
    <w:rsid w:val="00A04774"/>
    <w:rPr>
      <w:rFonts w:ascii="Times New Roman" w:hAnsi="Times New Roman" w:cs="Times New Roman"/>
      <w:color w:val="000000"/>
      <w:kern w:val="0"/>
      <w:sz w:val="20"/>
      <w:szCs w:val="20"/>
      <w:lang w:val="en-GB" w:eastAsia="x-none"/>
    </w:rPr>
  </w:style>
  <w:style w:type="paragraph" w:customStyle="1" w:styleId="afd">
    <w:name w:val="変更箇所"/>
    <w:hidden/>
    <w:semiHidden/>
    <w:rsid w:val="00A04774"/>
    <w:rPr>
      <w:rFonts w:ascii="Times New Roman" w:eastAsia="MS Mincho" w:hAnsi="Times New Roman" w:cs="Times New Roman"/>
      <w:kern w:val="0"/>
      <w:sz w:val="20"/>
      <w:szCs w:val="20"/>
      <w:lang w:val="en-GB" w:eastAsia="en-US"/>
    </w:rPr>
  </w:style>
  <w:style w:type="character" w:styleId="afe">
    <w:name w:val="Placeholder Text"/>
    <w:uiPriority w:val="99"/>
    <w:semiHidden/>
    <w:rsid w:val="00A04774"/>
    <w:rPr>
      <w:color w:val="808080"/>
    </w:rPr>
  </w:style>
  <w:style w:type="paragraph" w:styleId="TOC">
    <w:name w:val="TOC Heading"/>
    <w:basedOn w:val="1"/>
    <w:next w:val="a"/>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aff">
    <w:name w:val="Body Text"/>
    <w:basedOn w:val="a"/>
    <w:link w:val="Charb"/>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b">
    <w:name w:val="正文文本 Char"/>
    <w:basedOn w:val="a0"/>
    <w:link w:val="aff"/>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a"/>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a"/>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a1"/>
    <w:next w:val="a6"/>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a"/>
    <w:link w:val="3GPPChar"/>
    <w:qFormat/>
    <w:rsid w:val="004E338D"/>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4E338D"/>
    <w:rPr>
      <w:rFonts w:ascii="Times New Roman" w:eastAsia="宋体" w:hAnsi="Times New Roman" w:cs="Times New Roman"/>
      <w:kern w:val="0"/>
      <w:sz w:val="20"/>
      <w:szCs w:val="20"/>
      <w:lang w:val="en-GB" w:eastAsia="ja-JP"/>
    </w:rPr>
  </w:style>
  <w:style w:type="character" w:customStyle="1" w:styleId="high-light-bg4">
    <w:name w:val="high-light-bg4"/>
    <w:basedOn w:val="a0"/>
    <w:rsid w:val="00FA5E95"/>
  </w:style>
  <w:style w:type="character" w:customStyle="1" w:styleId="apple-converted-space">
    <w:name w:val="apple-converted-space"/>
    <w:qFormat/>
    <w:rsid w:val="00533EC1"/>
  </w:style>
  <w:style w:type="paragraph" w:customStyle="1" w:styleId="xmsonormal">
    <w:name w:val="xmsonormal"/>
    <w:basedOn w:val="a"/>
    <w:uiPriority w:val="99"/>
    <w:rsid w:val="00B11DCD"/>
    <w:pPr>
      <w:widowControl/>
      <w:spacing w:before="100" w:beforeAutospacing="1" w:after="100" w:afterAutospacing="1"/>
      <w:jc w:val="left"/>
    </w:pPr>
    <w:rPr>
      <w:rFonts w:ascii="Calibri" w:eastAsia="宋体" w:hAnsi="Calibri" w:cs="Calibri"/>
      <w:kern w:val="0"/>
      <w:sz w:val="22"/>
    </w:rPr>
  </w:style>
  <w:style w:type="paragraph" w:customStyle="1" w:styleId="DECISION">
    <w:name w:val="DECISION"/>
    <w:basedOn w:val="a"/>
    <w:rsid w:val="00103FC0"/>
    <w:pPr>
      <w:numPr>
        <w:numId w:val="32"/>
      </w:numPr>
      <w:overflowPunct w:val="0"/>
      <w:autoSpaceDE w:val="0"/>
      <w:autoSpaceDN w:val="0"/>
      <w:adjustRightInd w:val="0"/>
      <w:spacing w:before="120" w:after="120"/>
      <w:textAlignment w:val="baseline"/>
    </w:pPr>
    <w:rPr>
      <w:rFonts w:ascii="Arial" w:hAnsi="Arial" w:cs="Times New Roman"/>
      <w:b/>
      <w:color w:val="0000FF"/>
      <w:kern w:val="0"/>
      <w:sz w:val="20"/>
      <w:szCs w:val="20"/>
      <w:u w:val="single"/>
      <w:lang w:val="en-GB" w:eastAsia="en-US"/>
    </w:rPr>
  </w:style>
  <w:style w:type="paragraph" w:customStyle="1" w:styleId="xmsonormal0">
    <w:name w:val="x_msonormal"/>
    <w:basedOn w:val="a"/>
    <w:qFormat/>
    <w:rsid w:val="00881494"/>
    <w:pPr>
      <w:widowControl/>
      <w:jc w:val="left"/>
    </w:pPr>
    <w:rPr>
      <w:rFonts w:ascii="Calibri" w:eastAsia="Calibri"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281032755">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706636641">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415473344">
      <w:bodyDiv w:val="1"/>
      <w:marLeft w:val="0"/>
      <w:marRight w:val="0"/>
      <w:marTop w:val="0"/>
      <w:marBottom w:val="0"/>
      <w:divBdr>
        <w:top w:val="none" w:sz="0" w:space="0" w:color="auto"/>
        <w:left w:val="none" w:sz="0" w:space="0" w:color="auto"/>
        <w:bottom w:val="none" w:sz="0" w:space="0" w:color="auto"/>
        <w:right w:val="none" w:sz="0" w:space="0" w:color="auto"/>
      </w:divBdr>
    </w:div>
    <w:div w:id="1731072592">
      <w:bodyDiv w:val="1"/>
      <w:marLeft w:val="0"/>
      <w:marRight w:val="0"/>
      <w:marTop w:val="0"/>
      <w:marBottom w:val="0"/>
      <w:divBdr>
        <w:top w:val="none" w:sz="0" w:space="0" w:color="auto"/>
        <w:left w:val="none" w:sz="0" w:space="0" w:color="auto"/>
        <w:bottom w:val="none" w:sz="0" w:space="0" w:color="auto"/>
        <w:right w:val="none" w:sz="0" w:space="0" w:color="auto"/>
      </w:divBdr>
      <w:divsChild>
        <w:div w:id="8795993">
          <w:marLeft w:val="2520"/>
          <w:marRight w:val="0"/>
          <w:marTop w:val="100"/>
          <w:marBottom w:val="0"/>
          <w:divBdr>
            <w:top w:val="none" w:sz="0" w:space="0" w:color="auto"/>
            <w:left w:val="none" w:sz="0" w:space="0" w:color="auto"/>
            <w:bottom w:val="none" w:sz="0" w:space="0" w:color="auto"/>
            <w:right w:val="none" w:sz="0" w:space="0" w:color="auto"/>
          </w:divBdr>
        </w:div>
        <w:div w:id="105807031">
          <w:marLeft w:val="1800"/>
          <w:marRight w:val="0"/>
          <w:marTop w:val="100"/>
          <w:marBottom w:val="0"/>
          <w:divBdr>
            <w:top w:val="none" w:sz="0" w:space="0" w:color="auto"/>
            <w:left w:val="none" w:sz="0" w:space="0" w:color="auto"/>
            <w:bottom w:val="none" w:sz="0" w:space="0" w:color="auto"/>
            <w:right w:val="none" w:sz="0" w:space="0" w:color="auto"/>
          </w:divBdr>
        </w:div>
        <w:div w:id="299772586">
          <w:marLeft w:val="1800"/>
          <w:marRight w:val="0"/>
          <w:marTop w:val="100"/>
          <w:marBottom w:val="0"/>
          <w:divBdr>
            <w:top w:val="none" w:sz="0" w:space="0" w:color="auto"/>
            <w:left w:val="none" w:sz="0" w:space="0" w:color="auto"/>
            <w:bottom w:val="none" w:sz="0" w:space="0" w:color="auto"/>
            <w:right w:val="none" w:sz="0" w:space="0" w:color="auto"/>
          </w:divBdr>
        </w:div>
        <w:div w:id="544415238">
          <w:marLeft w:val="2520"/>
          <w:marRight w:val="0"/>
          <w:marTop w:val="100"/>
          <w:marBottom w:val="0"/>
          <w:divBdr>
            <w:top w:val="none" w:sz="0" w:space="0" w:color="auto"/>
            <w:left w:val="none" w:sz="0" w:space="0" w:color="auto"/>
            <w:bottom w:val="none" w:sz="0" w:space="0" w:color="auto"/>
            <w:right w:val="none" w:sz="0" w:space="0" w:color="auto"/>
          </w:divBdr>
        </w:div>
        <w:div w:id="1130511277">
          <w:marLeft w:val="1080"/>
          <w:marRight w:val="0"/>
          <w:marTop w:val="100"/>
          <w:marBottom w:val="0"/>
          <w:divBdr>
            <w:top w:val="none" w:sz="0" w:space="0" w:color="auto"/>
            <w:left w:val="none" w:sz="0" w:space="0" w:color="auto"/>
            <w:bottom w:val="none" w:sz="0" w:space="0" w:color="auto"/>
            <w:right w:val="none" w:sz="0" w:space="0" w:color="auto"/>
          </w:divBdr>
        </w:div>
        <w:div w:id="1582330555">
          <w:marLeft w:val="1800"/>
          <w:marRight w:val="0"/>
          <w:marTop w:val="100"/>
          <w:marBottom w:val="0"/>
          <w:divBdr>
            <w:top w:val="none" w:sz="0" w:space="0" w:color="auto"/>
            <w:left w:val="none" w:sz="0" w:space="0" w:color="auto"/>
            <w:bottom w:val="none" w:sz="0" w:space="0" w:color="auto"/>
            <w:right w:val="none" w:sz="0" w:space="0" w:color="auto"/>
          </w:divBdr>
        </w:div>
        <w:div w:id="1936597504">
          <w:marLeft w:val="1800"/>
          <w:marRight w:val="0"/>
          <w:marTop w:val="100"/>
          <w:marBottom w:val="0"/>
          <w:divBdr>
            <w:top w:val="none" w:sz="0" w:space="0" w:color="auto"/>
            <w:left w:val="none" w:sz="0" w:space="0" w:color="auto"/>
            <w:bottom w:val="none" w:sz="0" w:space="0" w:color="auto"/>
            <w:right w:val="none" w:sz="0" w:space="0" w:color="auto"/>
          </w:divBdr>
        </w:div>
      </w:divsChild>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 w:id="189215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1034</Words>
  <Characters>5899</Characters>
  <Application>Microsoft Office Word</Application>
  <DocSecurity>0</DocSecurity>
  <Lines>49</Lines>
  <Paragraphs>13</Paragraphs>
  <ScaleCrop>false</ScaleCrop>
  <Company/>
  <LinksUpToDate>false</LinksUpToDate>
  <CharactersWithSpaces>6920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cp:lastPrinted>2021-12-22T03:12:00Z</cp:lastPrinted>
  <dcterms:created xsi:type="dcterms:W3CDTF">2022-02-14T09:12:00Z</dcterms:created>
  <dcterms:modified xsi:type="dcterms:W3CDTF">2022-02-14T09:12:00Z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